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0038" w14:textId="77777777" w:rsidR="004D46F9" w:rsidRPr="009A6FBE" w:rsidRDefault="004D46F9"/>
    <w:p w14:paraId="6ACE12CC" w14:textId="77777777" w:rsidR="00D96B23" w:rsidRDefault="00D96B23"/>
    <w:p w14:paraId="7EB40DA0" w14:textId="77777777" w:rsidR="00F55E4F" w:rsidRDefault="00F55E4F" w:rsidP="008042FA"/>
    <w:p w14:paraId="5C7B9FB2" w14:textId="77777777" w:rsidR="00F55E4F" w:rsidRDefault="00F55E4F" w:rsidP="008042FA"/>
    <w:p w14:paraId="0DAA5126" w14:textId="77777777" w:rsidR="00F55E4F" w:rsidRDefault="00F55E4F" w:rsidP="008042FA"/>
    <w:p w14:paraId="65B4A0E8" w14:textId="02775C30" w:rsidR="005E4CD0" w:rsidRPr="004F7E58" w:rsidRDefault="00D96B23" w:rsidP="00FE1BB1">
      <w:pPr>
        <w:pStyle w:val="Title"/>
        <w:jc w:val="center"/>
      </w:pPr>
      <w:proofErr w:type="spellStart"/>
      <w:r w:rsidRPr="004F7E58">
        <w:t>GODIŠNJ</w:t>
      </w:r>
      <w:r w:rsidR="00030DB4" w:rsidRPr="004F7E58">
        <w:t>I</w:t>
      </w:r>
      <w:proofErr w:type="spellEnd"/>
      <w:r w:rsidRPr="004F7E58">
        <w:t xml:space="preserve"> </w:t>
      </w:r>
      <w:proofErr w:type="spellStart"/>
      <w:r w:rsidR="00030DB4" w:rsidRPr="004F7E58">
        <w:t>IZVJEŠTAJ</w:t>
      </w:r>
      <w:proofErr w:type="spellEnd"/>
      <w:r w:rsidR="002450E1" w:rsidRPr="004F7E58">
        <w:t xml:space="preserve"> </w:t>
      </w:r>
      <w:r w:rsidR="00FB58E7" w:rsidRPr="004F7E58">
        <w:t xml:space="preserve">O </w:t>
      </w:r>
      <w:proofErr w:type="spellStart"/>
      <w:r w:rsidR="00FB58E7" w:rsidRPr="004F7E58">
        <w:t>REALIZACIJI</w:t>
      </w:r>
      <w:proofErr w:type="spellEnd"/>
      <w:r w:rsidR="00FB58E7" w:rsidRPr="004F7E58">
        <w:t xml:space="preserve"> </w:t>
      </w:r>
      <w:proofErr w:type="spellStart"/>
      <w:r w:rsidR="00FB58E7" w:rsidRPr="004F7E58">
        <w:t>STRATEGIJE</w:t>
      </w:r>
      <w:proofErr w:type="spellEnd"/>
      <w:r w:rsidR="002450E1" w:rsidRPr="004F7E58">
        <w:t xml:space="preserve"> </w:t>
      </w:r>
      <w:proofErr w:type="spellStart"/>
      <w:r w:rsidR="00D25CD2" w:rsidRPr="004F7E58">
        <w:t>REFORME</w:t>
      </w:r>
      <w:proofErr w:type="spellEnd"/>
      <w:r w:rsidR="00D25CD2" w:rsidRPr="004F7E58">
        <w:t xml:space="preserve"> </w:t>
      </w:r>
      <w:proofErr w:type="spellStart"/>
      <w:r w:rsidR="002450E1" w:rsidRPr="004F7E58">
        <w:t>U</w:t>
      </w:r>
      <w:r w:rsidR="005E4CD0" w:rsidRPr="004F7E58">
        <w:t>PRAVLJANJA</w:t>
      </w:r>
      <w:proofErr w:type="spellEnd"/>
      <w:r w:rsidR="005E4CD0" w:rsidRPr="004F7E58">
        <w:t xml:space="preserve"> </w:t>
      </w:r>
      <w:proofErr w:type="spellStart"/>
      <w:r w:rsidR="002450E1" w:rsidRPr="004F7E58">
        <w:t>J</w:t>
      </w:r>
      <w:r w:rsidR="005E4CD0" w:rsidRPr="004F7E58">
        <w:t>AVNIM</w:t>
      </w:r>
      <w:proofErr w:type="spellEnd"/>
      <w:r w:rsidR="005E4CD0" w:rsidRPr="004F7E58">
        <w:t xml:space="preserve"> </w:t>
      </w:r>
      <w:proofErr w:type="spellStart"/>
      <w:r w:rsidR="005E4CD0" w:rsidRPr="004F7E58">
        <w:t>FINANSIJAMA</w:t>
      </w:r>
      <w:proofErr w:type="spellEnd"/>
    </w:p>
    <w:p w14:paraId="3B628923" w14:textId="5D8DC28A" w:rsidR="003714E5" w:rsidRPr="004F7E58" w:rsidRDefault="00D25CD2" w:rsidP="00FE1BB1">
      <w:pPr>
        <w:pStyle w:val="Title"/>
        <w:jc w:val="center"/>
      </w:pPr>
      <w:proofErr w:type="spellStart"/>
      <w:r w:rsidRPr="004F7E58">
        <w:t>FEDERACIJE</w:t>
      </w:r>
      <w:proofErr w:type="spellEnd"/>
      <w:r w:rsidRPr="004F7E58">
        <w:t xml:space="preserve"> </w:t>
      </w:r>
      <w:proofErr w:type="spellStart"/>
      <w:r w:rsidRPr="004F7E58">
        <w:t>BOSNE</w:t>
      </w:r>
      <w:proofErr w:type="spellEnd"/>
      <w:r w:rsidRPr="004F7E58">
        <w:t xml:space="preserve"> I </w:t>
      </w:r>
      <w:proofErr w:type="spellStart"/>
      <w:r w:rsidRPr="004F7E58">
        <w:t>HERCEGOVINE</w:t>
      </w:r>
      <w:proofErr w:type="spellEnd"/>
    </w:p>
    <w:p w14:paraId="1519B102" w14:textId="77777777" w:rsidR="00F0752E" w:rsidRPr="004F7E58" w:rsidRDefault="00F0752E" w:rsidP="00F0752E"/>
    <w:p w14:paraId="33AF5CFC" w14:textId="77777777" w:rsidR="00FB58E7" w:rsidRPr="004F7E58" w:rsidRDefault="00FB58E7" w:rsidP="00F0752E"/>
    <w:p w14:paraId="698F0F9B" w14:textId="77777777" w:rsidR="00FB58E7" w:rsidRPr="004F7E58" w:rsidRDefault="00FB58E7" w:rsidP="00F0752E"/>
    <w:p w14:paraId="15A867CE" w14:textId="7B2FAC2B" w:rsidR="00F0752E" w:rsidRPr="00237ECB" w:rsidRDefault="00F0752E" w:rsidP="00D8509B">
      <w:pPr>
        <w:jc w:val="center"/>
        <w:rPr>
          <w:b/>
          <w:bCs/>
        </w:rPr>
      </w:pPr>
      <w:proofErr w:type="spellStart"/>
      <w:r w:rsidRPr="00237ECB">
        <w:rPr>
          <w:b/>
          <w:bCs/>
        </w:rPr>
        <w:t>Izvještajni</w:t>
      </w:r>
      <w:proofErr w:type="spellEnd"/>
      <w:r w:rsidRPr="00237ECB">
        <w:rPr>
          <w:b/>
          <w:bCs/>
        </w:rPr>
        <w:t xml:space="preserve"> period: od </w:t>
      </w:r>
      <w:r w:rsidR="008F4355" w:rsidRPr="00237ECB">
        <w:rPr>
          <w:b/>
          <w:bCs/>
        </w:rPr>
        <w:t>01.01.202</w:t>
      </w:r>
      <w:r w:rsidR="00CF5853" w:rsidRPr="00237ECB">
        <w:rPr>
          <w:b/>
          <w:bCs/>
        </w:rPr>
        <w:t>4</w:t>
      </w:r>
      <w:r w:rsidR="00721ED3" w:rsidRPr="00237ECB">
        <w:rPr>
          <w:b/>
          <w:bCs/>
        </w:rPr>
        <w:t>.</w:t>
      </w:r>
      <w:r w:rsidRPr="00237ECB">
        <w:rPr>
          <w:b/>
          <w:bCs/>
        </w:rPr>
        <w:t xml:space="preserve"> do </w:t>
      </w:r>
      <w:r w:rsidR="008F4355" w:rsidRPr="00237ECB">
        <w:rPr>
          <w:b/>
          <w:bCs/>
        </w:rPr>
        <w:t>31.12.202</w:t>
      </w:r>
      <w:r w:rsidR="00CF5853" w:rsidRPr="00237ECB">
        <w:rPr>
          <w:b/>
          <w:bCs/>
        </w:rPr>
        <w:t>4</w:t>
      </w:r>
      <w:r w:rsidR="00721ED3" w:rsidRPr="00237ECB">
        <w:rPr>
          <w:b/>
          <w:bCs/>
        </w:rPr>
        <w:t>.</w:t>
      </w:r>
    </w:p>
    <w:p w14:paraId="78A307A6" w14:textId="77777777" w:rsidR="00F55E4F" w:rsidRPr="004F7E58" w:rsidRDefault="00F55E4F" w:rsidP="00F0752E"/>
    <w:p w14:paraId="216965E4" w14:textId="77777777" w:rsidR="00F55E4F" w:rsidRPr="004F7E58" w:rsidRDefault="00F55E4F" w:rsidP="00F0752E"/>
    <w:p w14:paraId="63769599" w14:textId="77777777" w:rsidR="001D3E55" w:rsidRPr="004F7E58" w:rsidRDefault="001D3E55" w:rsidP="00F0752E"/>
    <w:p w14:paraId="160465EF" w14:textId="77777777" w:rsidR="001D3E55" w:rsidRPr="004F7E58" w:rsidRDefault="001D3E55" w:rsidP="00F0752E"/>
    <w:p w14:paraId="037B93B8" w14:textId="11020B51" w:rsidR="00FB58E7" w:rsidRPr="004F7E58" w:rsidRDefault="00FB58E7" w:rsidP="00F0752E"/>
    <w:p w14:paraId="1678D5E8" w14:textId="77777777" w:rsidR="00CB5438" w:rsidRPr="004F7E58" w:rsidRDefault="00CB5438" w:rsidP="00F0752E"/>
    <w:p w14:paraId="36DEB184" w14:textId="77777777" w:rsidR="00FB58E7" w:rsidRPr="004F7E58" w:rsidRDefault="00FB58E7" w:rsidP="00F0752E"/>
    <w:p w14:paraId="184CED39" w14:textId="77777777" w:rsidR="00FB58E7" w:rsidRPr="004F7E58" w:rsidRDefault="00FB58E7" w:rsidP="00F0752E"/>
    <w:p w14:paraId="5A355622" w14:textId="77777777" w:rsidR="00FB58E7" w:rsidRPr="004F7E58" w:rsidRDefault="00FB58E7" w:rsidP="00F0752E"/>
    <w:p w14:paraId="4B36398E" w14:textId="77777777" w:rsidR="00FB58E7" w:rsidRPr="004F7E58" w:rsidRDefault="00FB58E7" w:rsidP="00F0752E"/>
    <w:p w14:paraId="41C74928" w14:textId="77777777" w:rsidR="001D3E55" w:rsidRPr="004F7E58" w:rsidRDefault="001D3E55" w:rsidP="00F0752E"/>
    <w:p w14:paraId="352B73D7" w14:textId="6A793C30" w:rsidR="000D696C" w:rsidRPr="004F7E58" w:rsidRDefault="00F55E4F" w:rsidP="00FE1BB1">
      <w:pPr>
        <w:jc w:val="center"/>
        <w:rPr>
          <w:rFonts w:asciiTheme="majorHAnsi" w:eastAsiaTheme="majorEastAsia" w:hAnsiTheme="majorHAnsi" w:cstheme="majorBidi"/>
          <w:b/>
          <w:bCs/>
          <w:i/>
          <w:iCs/>
          <w:color w:val="2E74B5" w:themeColor="accent1" w:themeShade="BF"/>
          <w:sz w:val="32"/>
          <w:szCs w:val="32"/>
          <w:lang w:val="fr-FR"/>
        </w:rPr>
      </w:pPr>
      <w:r w:rsidRPr="004F7E58">
        <w:rPr>
          <w:b/>
          <w:bCs/>
          <w:i/>
          <w:iCs/>
          <w:lang w:val="fr-FR"/>
        </w:rPr>
        <w:t>Sarajevo</w:t>
      </w:r>
      <w:r w:rsidR="008F4355" w:rsidRPr="004F7E58">
        <w:rPr>
          <w:b/>
          <w:bCs/>
          <w:i/>
          <w:iCs/>
          <w:lang w:val="fr-FR"/>
        </w:rPr>
        <w:t>,</w:t>
      </w:r>
      <w:r w:rsidRPr="004F7E58">
        <w:rPr>
          <w:b/>
          <w:bCs/>
          <w:i/>
          <w:iCs/>
          <w:lang w:val="fr-FR"/>
        </w:rPr>
        <w:t xml:space="preserve"> </w:t>
      </w:r>
      <w:proofErr w:type="spellStart"/>
      <w:r w:rsidR="008A4E7A" w:rsidRPr="004F7E58">
        <w:rPr>
          <w:b/>
          <w:bCs/>
          <w:i/>
          <w:iCs/>
          <w:lang w:val="fr-FR"/>
        </w:rPr>
        <w:t>decembar</w:t>
      </w:r>
      <w:proofErr w:type="spellEnd"/>
      <w:r w:rsidR="008A4E7A" w:rsidRPr="004F7E58">
        <w:rPr>
          <w:b/>
          <w:bCs/>
          <w:i/>
          <w:iCs/>
          <w:lang w:val="fr-FR"/>
        </w:rPr>
        <w:t xml:space="preserve"> </w:t>
      </w:r>
      <w:r w:rsidR="008F4355" w:rsidRPr="004F7E58">
        <w:rPr>
          <w:b/>
          <w:bCs/>
          <w:i/>
          <w:iCs/>
          <w:lang w:val="fr-FR"/>
        </w:rPr>
        <w:t>202</w:t>
      </w:r>
      <w:r w:rsidR="00CF5853" w:rsidRPr="004F7E58">
        <w:rPr>
          <w:b/>
          <w:bCs/>
          <w:i/>
          <w:iCs/>
          <w:lang w:val="fr-FR"/>
        </w:rPr>
        <w:t>5</w:t>
      </w:r>
      <w:r w:rsidRPr="004F7E58">
        <w:rPr>
          <w:b/>
          <w:bCs/>
          <w:i/>
          <w:iCs/>
          <w:lang w:val="fr-FR"/>
        </w:rPr>
        <w:t xml:space="preserve">. </w:t>
      </w:r>
      <w:proofErr w:type="spellStart"/>
      <w:proofErr w:type="gramStart"/>
      <w:r w:rsidRPr="004F7E58">
        <w:rPr>
          <w:b/>
          <w:bCs/>
          <w:i/>
          <w:iCs/>
          <w:lang w:val="fr-FR"/>
        </w:rPr>
        <w:t>godin</w:t>
      </w:r>
      <w:r w:rsidR="00CB5438" w:rsidRPr="004F7E58">
        <w:rPr>
          <w:b/>
          <w:bCs/>
          <w:i/>
          <w:iCs/>
          <w:lang w:val="fr-FR"/>
        </w:rPr>
        <w:t>e</w:t>
      </w:r>
      <w:proofErr w:type="spellEnd"/>
      <w:proofErr w:type="gramEnd"/>
      <w:r w:rsidR="000D696C" w:rsidRPr="004F7E58">
        <w:rPr>
          <w:b/>
          <w:bCs/>
          <w:i/>
          <w:iCs/>
          <w:lang w:val="fr-FR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5201539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F07BE6B" w14:textId="77777777" w:rsidR="009D5B40" w:rsidRPr="004F7E58" w:rsidRDefault="009D5B40">
          <w:pPr>
            <w:pStyle w:val="TOCHeading"/>
            <w:rPr>
              <w:lang w:val="fr-FR"/>
            </w:rPr>
          </w:pPr>
          <w:proofErr w:type="spellStart"/>
          <w:r w:rsidRPr="004F7E58">
            <w:rPr>
              <w:lang w:val="fr-FR"/>
            </w:rPr>
            <w:t>Sadržaj</w:t>
          </w:r>
          <w:proofErr w:type="spellEnd"/>
          <w:r w:rsidRPr="004F7E58">
            <w:rPr>
              <w:lang w:val="fr-FR"/>
            </w:rPr>
            <w:t xml:space="preserve"> </w:t>
          </w:r>
        </w:p>
        <w:p w14:paraId="4720FB5E" w14:textId="77777777" w:rsidR="009D5B40" w:rsidRPr="004F7E58" w:rsidRDefault="009D5B40" w:rsidP="009D5B40">
          <w:pPr>
            <w:rPr>
              <w:lang w:val="fr-FR"/>
            </w:rPr>
          </w:pPr>
        </w:p>
        <w:p w14:paraId="790EDD7E" w14:textId="50869E01" w:rsidR="0094281B" w:rsidRPr="004F7E58" w:rsidRDefault="009D5B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4F7E58">
            <w:fldChar w:fldCharType="begin"/>
          </w:r>
          <w:r w:rsidRPr="004F7E58">
            <w:instrText xml:space="preserve"> TOC \o "1-3" \h \z \u </w:instrText>
          </w:r>
          <w:r w:rsidRPr="004F7E58">
            <w:fldChar w:fldCharType="separate"/>
          </w:r>
          <w:hyperlink w:anchor="_Toc214450214" w:history="1">
            <w:r w:rsidR="0094281B" w:rsidRPr="004F7E58">
              <w:rPr>
                <w:rStyle w:val="Hyperlink"/>
                <w:noProof/>
              </w:rPr>
              <w:t>Skra</w:t>
            </w:r>
            <w:r w:rsidR="0094281B" w:rsidRPr="004F7E58">
              <w:rPr>
                <w:rStyle w:val="Hyperlink"/>
                <w:noProof/>
                <w:lang w:val="bs-Latn-BA"/>
              </w:rPr>
              <w:t>ćenice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_Toc214450214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4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4A541399" w14:textId="5981FD71" w:rsidR="0094281B" w:rsidRPr="004F7E58" w:rsidRDefault="00BB781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15" w:history="1">
            <w:r w:rsidR="0094281B" w:rsidRPr="004F7E58">
              <w:rPr>
                <w:rStyle w:val="Hyperlink"/>
                <w:b/>
                <w:noProof/>
              </w:rPr>
              <w:t>1.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</w:rPr>
              <w:t>Uvod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_Toc214450215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5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1680BE75" w14:textId="1F1F67E9" w:rsidR="0094281B" w:rsidRPr="004F7E58" w:rsidRDefault="00BB781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16" w:history="1">
            <w:r w:rsidR="0094281B" w:rsidRPr="004F7E58">
              <w:rPr>
                <w:rStyle w:val="Hyperlink"/>
                <w:b/>
                <w:noProof/>
              </w:rPr>
              <w:t>2.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</w:rPr>
              <w:t>Strateški kontekst za GIR 202</w:t>
            </w:r>
            <w:r w:rsidR="00237ECB">
              <w:rPr>
                <w:rStyle w:val="Hyperlink"/>
                <w:b/>
                <w:noProof/>
              </w:rPr>
              <w:t>4</w:t>
            </w:r>
            <w:r w:rsidR="0094281B" w:rsidRPr="004F7E58">
              <w:rPr>
                <w:rStyle w:val="Hyperlink"/>
                <w:b/>
                <w:noProof/>
              </w:rPr>
              <w:t>. godine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_Toc214450216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5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4175B3B" w14:textId="04EF1727" w:rsidR="0094281B" w:rsidRPr="004F7E58" w:rsidRDefault="00BB781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17" w:history="1">
            <w:r w:rsidR="0094281B" w:rsidRPr="004F7E58">
              <w:rPr>
                <w:rStyle w:val="Hyperlink"/>
                <w:b/>
                <w:noProof/>
                <w:lang w:val="hr-HR"/>
              </w:rPr>
              <w:t>3.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hr-HR"/>
              </w:rPr>
              <w:t>Zbirni napredak u implementaciji planiranih aktivnosti definisanih akcionim planom za 202</w:t>
            </w:r>
            <w:r w:rsidR="00237ECB">
              <w:rPr>
                <w:rStyle w:val="Hyperlink"/>
                <w:b/>
                <w:noProof/>
                <w:lang w:val="hr-HR"/>
              </w:rPr>
              <w:t>4</w:t>
            </w:r>
            <w:r w:rsidR="0094281B" w:rsidRPr="004F7E58">
              <w:rPr>
                <w:rStyle w:val="Hyperlink"/>
                <w:b/>
                <w:noProof/>
                <w:lang w:val="hr-HR"/>
              </w:rPr>
              <w:t>. godinu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_Toc214450217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6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F13C045" w14:textId="62B85D0B" w:rsidR="0094281B" w:rsidRPr="004F7E58" w:rsidRDefault="00BB781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18" w:history="1">
            <w:r w:rsidR="0094281B" w:rsidRPr="004F7E58">
              <w:rPr>
                <w:rStyle w:val="Hyperlink"/>
                <w:b/>
                <w:noProof/>
              </w:rPr>
              <w:t>4.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</w:rPr>
              <w:t>Pregled ostvarenja aktivnosti i rezultata po stubovima za 2024. godinu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_Toc214450218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8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3C40F1A" w14:textId="1C0DA4E1" w:rsidR="0094281B" w:rsidRPr="004F7E58" w:rsidRDefault="00BB78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19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4.1. Stub I: FISKALNI OKVIR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_Toc214450219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8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738431FB" w14:textId="537B3434" w:rsidR="0094281B" w:rsidRPr="004F7E58" w:rsidRDefault="00BB781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0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4.1.1 Cilj stuba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_Toc214450220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8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317E6CB6" w14:textId="50B86D3E" w:rsidR="0094281B" w:rsidRPr="004F7E58" w:rsidRDefault="00BB781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1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4.1.2 Ostvarenje rezultata stuba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_Toc214450221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8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5A1D45C7" w14:textId="163D7C0C" w:rsidR="0094281B" w:rsidRPr="004F7E58" w:rsidRDefault="00BB781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2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4.1.3 Statistički pregled statusa aktivnosti i rezultata mjere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_Toc214450222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9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300ABDF5" w14:textId="788CFAD6" w:rsidR="0094281B" w:rsidRPr="004F7E58" w:rsidRDefault="00BB78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3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Stub II: JAVNI PRIHODI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_Toc214450223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13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2726319A" w14:textId="6D0504E6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4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4.2.1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Cilj stuba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_Toc214450224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13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7F49B35D" w14:textId="4E60F588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5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4.2.2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Ostvarenje rezultata stuba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_Toc214450225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13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4972EF7F" w14:textId="51CBED73" w:rsidR="0094281B" w:rsidRPr="004F7E58" w:rsidRDefault="00BB781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6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4.2.3 Statistički pregled statusa aktivnosti i rezultata mjere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_Toc214450226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13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595AA697" w14:textId="091A947C" w:rsidR="0094281B" w:rsidRPr="004F7E58" w:rsidRDefault="00BB781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7" w:history="1">
            <w:r w:rsidR="0094281B" w:rsidRPr="004F7E58">
              <w:rPr>
                <w:rStyle w:val="Hyperlink"/>
                <w:rFonts w:asciiTheme="majorHAnsi" w:eastAsiaTheme="majorEastAsia" w:hAnsiTheme="majorHAnsi" w:cstheme="majorBidi"/>
                <w:b/>
                <w:noProof/>
                <w:lang w:val="bs-Latn-BA"/>
              </w:rPr>
              <w:t>4.3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rFonts w:asciiTheme="majorHAnsi" w:eastAsiaTheme="majorEastAsia" w:hAnsiTheme="majorHAnsi" w:cstheme="majorBidi"/>
                <w:b/>
                <w:noProof/>
                <w:lang w:val="bs-Latn-BA"/>
              </w:rPr>
              <w:t>Stub III: PLANIRANJE I BUDŽETIRANJE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_Toc214450227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22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05B5C554" w14:textId="4AD787C8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8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4.3.1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Cilj stuba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_Toc214450228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22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295FCC28" w14:textId="729E01B3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29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4.3.2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Ostvarenje rezultata stupa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_Toc214450229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22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5B27ED8D" w14:textId="42B9FB10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0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4.3.3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Statistički pregled statusa aktivnosti i rezultata mjere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_Toc214450230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22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25D11DF4" w14:textId="2C2D9985" w:rsidR="0094281B" w:rsidRPr="004F7E58" w:rsidRDefault="00BB781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1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4.4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Stub IV: IZVRŠENJE BUDŽETA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_Toc214450231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32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276EA69" w14:textId="52AD2D61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2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4.4.1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Cilj stuba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_Toc214450232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32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070BB702" w14:textId="5A762D7D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3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4.4.2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Ostvarenje rezultata stuba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_Toc214450233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32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7787AAD" w14:textId="02EE6E0A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4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4.4.3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Statistički pregled statusa aktivnosti i rezultata mjere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_Toc214450234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33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14072C79" w14:textId="7369667E" w:rsidR="0094281B" w:rsidRPr="004F7E58" w:rsidRDefault="00BB781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5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4.5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Stub V: UNUTARNJA KONTROLA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_Toc214450235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41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7241C777" w14:textId="365A14C1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6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4.5.1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Cilj stuba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_Toc214450236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41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08E1232" w14:textId="44679AD7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7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4.5.2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Ostvarenje rezultata stupa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_Toc214450237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41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455CECA5" w14:textId="4453BEC0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8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4.5.3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Statistički pregled statusa aktivnosti i rezultata mjere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_Toc214450238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43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18EF3FAC" w14:textId="5EF9E505" w:rsidR="0094281B" w:rsidRPr="004F7E58" w:rsidRDefault="00BB781A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39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4.6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Stub VI: EKSTERNA REVIZIJA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_Toc214450239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54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2D6A7922" w14:textId="63BB4B08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40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4.6.1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Cilj stuba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_Toc214450240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54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8B5EA69" w14:textId="10D17508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41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4.6.2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Ostvarenje rezultata stupa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_Toc214450241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54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25EEAEEA" w14:textId="253868B6" w:rsidR="0094281B" w:rsidRPr="004F7E58" w:rsidRDefault="00BB781A">
          <w:pPr>
            <w:pStyle w:val="TOC3"/>
            <w:tabs>
              <w:tab w:val="left" w:pos="120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42" w:history="1">
            <w:r w:rsidR="0094281B" w:rsidRPr="004F7E58">
              <w:rPr>
                <w:rStyle w:val="Hyperlink"/>
                <w:b/>
                <w:noProof/>
                <w:lang w:val="bs-Latn-BA"/>
              </w:rPr>
              <w:t>4.6.3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Statistički pregled statusa aktivnosti i rezultata mjere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_Toc214450242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55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50B908A5" w14:textId="05DC1F23" w:rsidR="0094281B" w:rsidRPr="004F7E58" w:rsidRDefault="00BB781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43" w:history="1">
            <w:r w:rsidR="00237ECB">
              <w:rPr>
                <w:rStyle w:val="Hyperlink"/>
                <w:b/>
                <w:noProof/>
                <w:lang w:val="bs-Latn-BA"/>
              </w:rPr>
              <w:t>5.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Odstupanja u realizaciji planiranih aktivnosti iz akcionog plana 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_Toc214450243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60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658D8046" w14:textId="6F8DA040" w:rsidR="0094281B" w:rsidRPr="004F7E58" w:rsidRDefault="00BB781A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44" w:history="1">
            <w:r w:rsidR="00237ECB">
              <w:rPr>
                <w:rStyle w:val="Hyperlink"/>
                <w:b/>
                <w:noProof/>
                <w:lang w:val="bs-Latn-BA"/>
              </w:rPr>
              <w:t>6.</w:t>
            </w:r>
            <w:r w:rsidR="0094281B" w:rsidRPr="004F7E5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>Zaključak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_Toc214450244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61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007EF193" w14:textId="4284F08D" w:rsidR="0094281B" w:rsidRPr="004F7E58" w:rsidRDefault="00BB78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45" w:history="1">
            <w:r w:rsidR="0094281B" w:rsidRPr="004F7E58">
              <w:rPr>
                <w:rStyle w:val="Hyperlink"/>
                <w:b/>
                <w:noProof/>
              </w:rPr>
              <w:t>Prilog I. Pregled statusa aktivnosti u 2024.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_Toc214450245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62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21063659" w14:textId="0310D3DD" w:rsidR="0094281B" w:rsidRPr="004F7E58" w:rsidRDefault="00BB78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450246" w:history="1">
            <w:r w:rsidR="0094281B" w:rsidRPr="004F7E58">
              <w:rPr>
                <w:rStyle w:val="Hyperlink"/>
                <w:b/>
                <w:noProof/>
              </w:rPr>
              <w:t>Prilog II. A</w:t>
            </w:r>
            <w:r w:rsidR="0094281B" w:rsidRPr="004F7E58">
              <w:rPr>
                <w:rStyle w:val="Hyperlink"/>
                <w:b/>
                <w:noProof/>
                <w:lang w:val="bs-Latn-BA"/>
              </w:rPr>
              <w:t xml:space="preserve">žurirani akcioni </w:t>
            </w:r>
            <w:r w:rsidR="0094281B" w:rsidRPr="004F7E58">
              <w:rPr>
                <w:rStyle w:val="Hyperlink"/>
                <w:b/>
                <w:noProof/>
              </w:rPr>
              <w:t>plan / Godišnji akcioni plan (GAP) sa logičkim okvirom u 202</w:t>
            </w:r>
            <w:r w:rsidR="00703130">
              <w:rPr>
                <w:rStyle w:val="Hyperlink"/>
                <w:b/>
                <w:noProof/>
              </w:rPr>
              <w:t>5</w:t>
            </w:r>
            <w:r w:rsidR="0094281B" w:rsidRPr="004F7E58">
              <w:rPr>
                <w:rStyle w:val="Hyperlink"/>
                <w:b/>
                <w:noProof/>
              </w:rPr>
              <w:t>. godini</w:t>
            </w:r>
            <w:r w:rsidR="0094281B" w:rsidRPr="004F7E58">
              <w:rPr>
                <w:noProof/>
                <w:webHidden/>
              </w:rPr>
              <w:tab/>
            </w:r>
            <w:r w:rsidR="0094281B" w:rsidRPr="004F7E58">
              <w:rPr>
                <w:noProof/>
                <w:webHidden/>
              </w:rPr>
              <w:fldChar w:fldCharType="begin"/>
            </w:r>
            <w:r w:rsidR="0094281B" w:rsidRPr="004F7E58">
              <w:rPr>
                <w:noProof/>
                <w:webHidden/>
              </w:rPr>
              <w:instrText xml:space="preserve"> PAGEREF _Toc214450246 \h </w:instrText>
            </w:r>
            <w:r w:rsidR="0094281B" w:rsidRPr="004F7E58">
              <w:rPr>
                <w:noProof/>
                <w:webHidden/>
              </w:rPr>
            </w:r>
            <w:r w:rsidR="0094281B" w:rsidRPr="004F7E58">
              <w:rPr>
                <w:noProof/>
                <w:webHidden/>
              </w:rPr>
              <w:fldChar w:fldCharType="separate"/>
            </w:r>
            <w:r w:rsidR="0094281B" w:rsidRPr="004F7E58">
              <w:rPr>
                <w:noProof/>
                <w:webHidden/>
              </w:rPr>
              <w:t>69</w:t>
            </w:r>
            <w:r w:rsidR="0094281B" w:rsidRPr="004F7E58">
              <w:rPr>
                <w:noProof/>
                <w:webHidden/>
              </w:rPr>
              <w:fldChar w:fldCharType="end"/>
            </w:r>
          </w:hyperlink>
        </w:p>
        <w:p w14:paraId="31ADD697" w14:textId="065FB2AD" w:rsidR="009D5B40" w:rsidRPr="004F7E58" w:rsidRDefault="009D5B40">
          <w:r w:rsidRPr="004F7E58">
            <w:rPr>
              <w:b/>
              <w:bCs/>
              <w:noProof/>
            </w:rPr>
            <w:fldChar w:fldCharType="end"/>
          </w:r>
        </w:p>
      </w:sdtContent>
    </w:sdt>
    <w:p w14:paraId="750E27E8" w14:textId="77777777" w:rsidR="00C66E65" w:rsidRPr="004F7E58" w:rsidRDefault="00C66E65">
      <w:r w:rsidRPr="004F7E58">
        <w:br w:type="page"/>
      </w:r>
    </w:p>
    <w:p w14:paraId="7A21C554" w14:textId="77777777" w:rsidR="00B963AD" w:rsidRPr="004F7E58" w:rsidRDefault="00B963AD" w:rsidP="00B963AD">
      <w:pPr>
        <w:pStyle w:val="Heading1"/>
        <w:rPr>
          <w:color w:val="C00000"/>
          <w:lang w:val="bs-Latn-BA"/>
        </w:rPr>
      </w:pPr>
      <w:bookmarkStart w:id="0" w:name="_Toc109292559"/>
      <w:bookmarkStart w:id="1" w:name="_Toc214450214"/>
      <w:proofErr w:type="spellStart"/>
      <w:r w:rsidRPr="004F7E58">
        <w:rPr>
          <w:color w:val="C00000"/>
        </w:rPr>
        <w:lastRenderedPageBreak/>
        <w:t>Skra</w:t>
      </w:r>
      <w:proofErr w:type="spellEnd"/>
      <w:r w:rsidRPr="004F7E58">
        <w:rPr>
          <w:color w:val="C00000"/>
          <w:lang w:val="bs-Latn-BA"/>
        </w:rPr>
        <w:t>ćenice</w:t>
      </w:r>
      <w:bookmarkEnd w:id="0"/>
      <w:bookmarkEnd w:id="1"/>
      <w:r w:rsidRPr="004F7E58">
        <w:rPr>
          <w:color w:val="C00000"/>
          <w:lang w:val="bs-Latn-BA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6" w:space="0" w:color="F2F2F2"/>
          <w:insideV w:val="single" w:sz="6" w:space="0" w:color="F2F2F2"/>
        </w:tblBorders>
        <w:tblLook w:val="0000" w:firstRow="0" w:lastRow="0" w:firstColumn="0" w:lastColumn="0" w:noHBand="0" w:noVBand="0"/>
      </w:tblPr>
      <w:tblGrid>
        <w:gridCol w:w="1668"/>
        <w:gridCol w:w="7574"/>
      </w:tblGrid>
      <w:tr w:rsidR="00B963AD" w:rsidRPr="004F7E58" w14:paraId="02FB9685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7C9C1F3F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BiH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0C67BE48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Bosna I Hercegovina</w:t>
            </w:r>
          </w:p>
        </w:tc>
      </w:tr>
      <w:tr w:rsidR="00B963AD" w:rsidRPr="004F7E58" w14:paraId="399267DB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08CA0EF0" w14:textId="5C9CC2B1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 xml:space="preserve">FBiH 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4AABBD85" w14:textId="7D69E503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Federacija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Bosne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</w:t>
            </w:r>
            <w:proofErr w:type="spellEnd"/>
            <w:r w:rsidRPr="004F7E58">
              <w:rPr>
                <w:sz w:val="20"/>
                <w:szCs w:val="20"/>
              </w:rPr>
              <w:t xml:space="preserve"> Hercegovina</w:t>
            </w:r>
          </w:p>
        </w:tc>
      </w:tr>
      <w:tr w:rsidR="00B963AD" w:rsidRPr="004F7E58" w14:paraId="6FADE680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40A7113A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BK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644CC1A6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Budžetski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korisnik</w:t>
            </w:r>
            <w:proofErr w:type="spellEnd"/>
          </w:p>
        </w:tc>
      </w:tr>
      <w:tr w:rsidR="00B963AD" w:rsidRPr="004F7E58" w14:paraId="084570D7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7D70BD99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CHJ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69269595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Centralna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harmonizacijska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jedinica</w:t>
            </w:r>
            <w:proofErr w:type="spellEnd"/>
          </w:p>
        </w:tc>
      </w:tr>
      <w:tr w:rsidR="00B963AD" w:rsidRPr="004F7E58" w14:paraId="2E5F222C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6B06974F" w14:textId="605343C3" w:rsidR="00B963AD" w:rsidRPr="004F7E58" w:rsidRDefault="00E62E9B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F</w:t>
            </w:r>
            <w:r w:rsidR="00B963AD" w:rsidRPr="004F7E58">
              <w:rPr>
                <w:sz w:val="20"/>
                <w:szCs w:val="20"/>
              </w:rPr>
              <w:t xml:space="preserve">MF 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76E79C2B" w14:textId="0CAFDF6F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Ministarstvo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finansija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Federacije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Bosne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Hercegovine</w:t>
            </w:r>
            <w:proofErr w:type="spellEnd"/>
          </w:p>
        </w:tc>
      </w:tr>
      <w:tr w:rsidR="00B963AD" w:rsidRPr="004F7E58" w14:paraId="33CF3E60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12AEB1E7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DOB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52EB9C12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Dokument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okvirnog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budžeta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</w:tr>
      <w:tr w:rsidR="00B963AD" w:rsidRPr="004F7E58" w14:paraId="49112DB7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098A891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EK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6B878549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Evropska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komisija</w:t>
            </w:r>
            <w:proofErr w:type="spellEnd"/>
          </w:p>
        </w:tc>
      </w:tr>
      <w:tr w:rsidR="00B963AD" w:rsidRPr="004F7E58" w14:paraId="25BF6614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313AA69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ESA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147D4B53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Europski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sistem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nacionalnih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regionalnih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računa</w:t>
            </w:r>
            <w:proofErr w:type="spellEnd"/>
            <w:r w:rsidRPr="004F7E58">
              <w:rPr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sz w:val="20"/>
                <w:szCs w:val="20"/>
              </w:rPr>
              <w:t>metodologija</w:t>
            </w:r>
            <w:proofErr w:type="spellEnd"/>
            <w:r w:rsidRPr="004F7E58">
              <w:rPr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sz w:val="20"/>
                <w:szCs w:val="20"/>
              </w:rPr>
              <w:t>izradu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podataka</w:t>
            </w:r>
            <w:proofErr w:type="spellEnd"/>
            <w:r w:rsidRPr="004F7E58">
              <w:rPr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sz w:val="20"/>
                <w:szCs w:val="20"/>
              </w:rPr>
              <w:t>nacionalnim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računima</w:t>
            </w:r>
            <w:proofErr w:type="spellEnd"/>
            <w:r w:rsidRPr="004F7E58">
              <w:rPr>
                <w:sz w:val="20"/>
                <w:szCs w:val="20"/>
              </w:rPr>
              <w:t xml:space="preserve"> u EU </w:t>
            </w:r>
            <w:proofErr w:type="spellStart"/>
            <w:r w:rsidRPr="004F7E58">
              <w:rPr>
                <w:sz w:val="20"/>
                <w:szCs w:val="20"/>
              </w:rPr>
              <w:t>putem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koje</w:t>
            </w:r>
            <w:proofErr w:type="spellEnd"/>
            <w:r w:rsidRPr="004F7E58">
              <w:rPr>
                <w:sz w:val="20"/>
                <w:szCs w:val="20"/>
              </w:rPr>
              <w:t xml:space="preserve"> se </w:t>
            </w:r>
            <w:proofErr w:type="spellStart"/>
            <w:r w:rsidRPr="004F7E58">
              <w:rPr>
                <w:sz w:val="20"/>
                <w:szCs w:val="20"/>
              </w:rPr>
              <w:t>ostvaruje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ujednačena</w:t>
            </w:r>
            <w:proofErr w:type="spellEnd"/>
            <w:r w:rsidRPr="004F7E58">
              <w:rPr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sz w:val="20"/>
                <w:szCs w:val="20"/>
              </w:rPr>
              <w:t>uporediva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pouzdana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proizvodnja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ekonomskih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statistika</w:t>
            </w:r>
            <w:proofErr w:type="spellEnd"/>
            <w:r w:rsidRPr="004F7E58">
              <w:rPr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sz w:val="20"/>
                <w:szCs w:val="20"/>
              </w:rPr>
              <w:t>zemljama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članicama</w:t>
            </w:r>
            <w:proofErr w:type="spellEnd"/>
            <w:r w:rsidRPr="004F7E58">
              <w:rPr>
                <w:sz w:val="20"/>
                <w:szCs w:val="20"/>
              </w:rPr>
              <w:t>. (ESA 95, ESA 2010)</w:t>
            </w:r>
          </w:p>
        </w:tc>
      </w:tr>
      <w:tr w:rsidR="00B963AD" w:rsidRPr="004F7E58" w14:paraId="06615A13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ABBC636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EU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50AFE141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Evropska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unija</w:t>
            </w:r>
            <w:proofErr w:type="spellEnd"/>
          </w:p>
        </w:tc>
      </w:tr>
      <w:tr w:rsidR="00B963AD" w:rsidRPr="004F7E58" w14:paraId="03060114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5FC94E1D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FUK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48C685C0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Finansijsko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upravljanje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kontrola</w:t>
            </w:r>
            <w:proofErr w:type="spellEnd"/>
          </w:p>
        </w:tc>
      </w:tr>
      <w:tr w:rsidR="00B963AD" w:rsidRPr="004F7E58" w14:paraId="3F4AEA29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18640614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GAP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5049EE61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Godišnji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akcioni</w:t>
            </w:r>
            <w:proofErr w:type="spellEnd"/>
            <w:r w:rsidRPr="004F7E58">
              <w:rPr>
                <w:sz w:val="20"/>
                <w:szCs w:val="20"/>
              </w:rPr>
              <w:t xml:space="preserve"> plan</w:t>
            </w:r>
          </w:p>
        </w:tc>
      </w:tr>
      <w:tr w:rsidR="00B963AD" w:rsidRPr="004F7E58" w14:paraId="57AE8738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8060874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GIR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5A7F10A6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Godišnji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izvještaj</w:t>
            </w:r>
            <w:proofErr w:type="spellEnd"/>
            <w:r w:rsidRPr="004F7E58">
              <w:rPr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sz w:val="20"/>
                <w:szCs w:val="20"/>
              </w:rPr>
              <w:t>realizaciji</w:t>
            </w:r>
            <w:proofErr w:type="spellEnd"/>
          </w:p>
        </w:tc>
      </w:tr>
      <w:tr w:rsidR="00B963AD" w:rsidRPr="004F7E58" w14:paraId="00619E6B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5D866428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IS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07BD3331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Informacioni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sistem</w:t>
            </w:r>
            <w:proofErr w:type="spellEnd"/>
          </w:p>
        </w:tc>
      </w:tr>
      <w:tr w:rsidR="00B963AD" w:rsidRPr="004F7E58" w14:paraId="0D2C5E3A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C072A84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JIR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79F6D3E8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Jedinica</w:t>
            </w:r>
            <w:proofErr w:type="spellEnd"/>
            <w:r w:rsidRPr="004F7E58">
              <w:rPr>
                <w:sz w:val="20"/>
                <w:szCs w:val="20"/>
              </w:rPr>
              <w:t xml:space="preserve"> interne </w:t>
            </w:r>
            <w:proofErr w:type="spellStart"/>
            <w:r w:rsidRPr="004F7E58">
              <w:rPr>
                <w:sz w:val="20"/>
                <w:szCs w:val="20"/>
              </w:rPr>
              <w:t>revizije</w:t>
            </w:r>
            <w:proofErr w:type="spellEnd"/>
          </w:p>
        </w:tc>
      </w:tr>
      <w:tr w:rsidR="00B963AD" w:rsidRPr="004F7E58" w14:paraId="48019510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7A277CC2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JPP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57EA0653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Javno-privatno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partnerstvo</w:t>
            </w:r>
            <w:proofErr w:type="spellEnd"/>
          </w:p>
        </w:tc>
      </w:tr>
      <w:tr w:rsidR="00B963AD" w:rsidRPr="004F7E58" w14:paraId="31F69250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7FC06AC3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MMF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13CCC6E2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Međunarodni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monetarni</w:t>
            </w:r>
            <w:proofErr w:type="spellEnd"/>
            <w:r w:rsidRPr="004F7E58">
              <w:rPr>
                <w:sz w:val="20"/>
                <w:szCs w:val="20"/>
              </w:rPr>
              <w:t xml:space="preserve"> fond</w:t>
            </w:r>
          </w:p>
        </w:tc>
      </w:tr>
      <w:tr w:rsidR="00B963AD" w:rsidRPr="004F7E58" w14:paraId="332BAC2F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5B57C21B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IPA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50BE64BE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 xml:space="preserve">Instrument </w:t>
            </w:r>
            <w:proofErr w:type="spellStart"/>
            <w:r w:rsidRPr="004F7E58">
              <w:rPr>
                <w:sz w:val="20"/>
                <w:szCs w:val="20"/>
              </w:rPr>
              <w:t>pretpristupne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pomoći</w:t>
            </w:r>
            <w:proofErr w:type="spellEnd"/>
            <w:r w:rsidRPr="004F7E58">
              <w:rPr>
                <w:sz w:val="20"/>
                <w:szCs w:val="20"/>
              </w:rPr>
              <w:t xml:space="preserve"> EU </w:t>
            </w:r>
          </w:p>
        </w:tc>
      </w:tr>
      <w:tr w:rsidR="00B963AD" w:rsidRPr="004F7E58" w14:paraId="3EB56450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2D7954C7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IR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22B617A2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 xml:space="preserve">Interna </w:t>
            </w:r>
            <w:proofErr w:type="spellStart"/>
            <w:r w:rsidRPr="004F7E58">
              <w:rPr>
                <w:sz w:val="20"/>
                <w:szCs w:val="20"/>
              </w:rPr>
              <w:t>revizija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</w:tr>
      <w:tr w:rsidR="00B963AD" w:rsidRPr="004F7E58" w14:paraId="123C2ECC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4FD62F52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MRS JS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66E249F5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Međunarodni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računovodstveni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standardi</w:t>
            </w:r>
            <w:proofErr w:type="spellEnd"/>
            <w:r w:rsidRPr="004F7E58">
              <w:rPr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sz w:val="20"/>
                <w:szCs w:val="20"/>
              </w:rPr>
              <w:t>javni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sektor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</w:tr>
      <w:tr w:rsidR="00B963AD" w:rsidRPr="004F7E58" w14:paraId="0DB6BC58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29DC0614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ISSAI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78E1E90E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Okvir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međunarodnih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standarda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vrhovnih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revizijskih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Institucija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</w:tr>
      <w:tr w:rsidR="00B963AD" w:rsidRPr="004F7E58" w14:paraId="46ED07AA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66431FE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IT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3CDEB5B0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Informacione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tehnologije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</w:tr>
      <w:tr w:rsidR="00B963AD" w:rsidRPr="004F7E58" w14:paraId="1A047C5E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0E4BDFB9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 xml:space="preserve">PER 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0FD28351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 xml:space="preserve">Program </w:t>
            </w:r>
            <w:proofErr w:type="spellStart"/>
            <w:r w:rsidRPr="004F7E58">
              <w:rPr>
                <w:sz w:val="20"/>
                <w:szCs w:val="20"/>
              </w:rPr>
              <w:t>ekonomskih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reformi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</w:tr>
      <w:tr w:rsidR="00B963AD" w:rsidRPr="004F7E58" w14:paraId="340D503F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923CFA1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PIFC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2DE13725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Javna</w:t>
            </w:r>
            <w:proofErr w:type="spellEnd"/>
            <w:r w:rsidRPr="004F7E58">
              <w:rPr>
                <w:sz w:val="20"/>
                <w:szCs w:val="20"/>
              </w:rPr>
              <w:t xml:space="preserve"> interna </w:t>
            </w:r>
            <w:proofErr w:type="spellStart"/>
            <w:r w:rsidRPr="004F7E58">
              <w:rPr>
                <w:sz w:val="20"/>
                <w:szCs w:val="20"/>
              </w:rPr>
              <w:t>finansijska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kontrola</w:t>
            </w:r>
            <w:proofErr w:type="spellEnd"/>
            <w:r w:rsidRPr="004F7E58">
              <w:rPr>
                <w:sz w:val="20"/>
                <w:szCs w:val="20"/>
              </w:rPr>
              <w:t xml:space="preserve"> (Public internal financial control)</w:t>
            </w:r>
          </w:p>
        </w:tc>
      </w:tr>
      <w:tr w:rsidR="00B963AD" w:rsidRPr="004F7E58" w14:paraId="473551B0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7DCC5780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PIMIS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2345C8CE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Softver</w:t>
            </w:r>
            <w:proofErr w:type="spellEnd"/>
            <w:r w:rsidRPr="004F7E58">
              <w:rPr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sz w:val="20"/>
                <w:szCs w:val="20"/>
              </w:rPr>
              <w:t>upravljanje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javnim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investicijama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</w:p>
        </w:tc>
      </w:tr>
      <w:tr w:rsidR="00B963AD" w:rsidRPr="004F7E58" w14:paraId="24B79E6E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638BB862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PJI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022D7394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 xml:space="preserve">Program </w:t>
            </w:r>
            <w:proofErr w:type="spellStart"/>
            <w:r w:rsidRPr="004F7E58">
              <w:rPr>
                <w:sz w:val="20"/>
                <w:szCs w:val="20"/>
              </w:rPr>
              <w:t>javnih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investicija</w:t>
            </w:r>
            <w:proofErr w:type="spellEnd"/>
          </w:p>
        </w:tc>
      </w:tr>
      <w:tr w:rsidR="00B963AD" w:rsidRPr="004F7E58" w14:paraId="6FB3628B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33459524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>SIGMA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0F7752E2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r w:rsidRPr="004F7E58">
              <w:rPr>
                <w:sz w:val="20"/>
                <w:szCs w:val="20"/>
              </w:rPr>
              <w:t xml:space="preserve">Support for Improvement in Governance and Management, EU </w:t>
            </w:r>
            <w:proofErr w:type="spellStart"/>
            <w:r w:rsidRPr="004F7E58">
              <w:rPr>
                <w:sz w:val="20"/>
                <w:szCs w:val="20"/>
              </w:rPr>
              <w:t>inicijativa</w:t>
            </w:r>
            <w:proofErr w:type="spellEnd"/>
            <w:r w:rsidRPr="004F7E58">
              <w:rPr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sz w:val="20"/>
                <w:szCs w:val="20"/>
              </w:rPr>
              <w:t>potporu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unaprijeđenja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javnog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upravljanja</w:t>
            </w:r>
            <w:proofErr w:type="spellEnd"/>
            <w:r w:rsidRPr="004F7E58">
              <w:rPr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sz w:val="20"/>
                <w:szCs w:val="20"/>
              </w:rPr>
              <w:t>zemljama</w:t>
            </w:r>
            <w:proofErr w:type="spellEnd"/>
            <w:r w:rsidRPr="004F7E58">
              <w:rPr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sz w:val="20"/>
                <w:szCs w:val="20"/>
              </w:rPr>
              <w:t>tranziciji</w:t>
            </w:r>
            <w:proofErr w:type="spellEnd"/>
          </w:p>
        </w:tc>
      </w:tr>
      <w:tr w:rsidR="00B963AD" w:rsidRPr="004F7E58" w14:paraId="41F1A838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4FD86269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UJF</w:t>
            </w:r>
            <w:proofErr w:type="spellEnd"/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3B442FFC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Upravljanje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javnim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finansijama</w:t>
            </w:r>
            <w:proofErr w:type="spellEnd"/>
          </w:p>
        </w:tc>
      </w:tr>
      <w:tr w:rsidR="00B963AD" w:rsidRPr="004F7E58" w14:paraId="0FCDDF6F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6ECF45BB" w14:textId="712A1EA1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VRI</w:t>
            </w:r>
            <w:r w:rsidR="00425B00" w:rsidRPr="004F7E58">
              <w:rPr>
                <w:sz w:val="20"/>
                <w:szCs w:val="20"/>
              </w:rPr>
              <w:t>FBIH</w:t>
            </w:r>
            <w:proofErr w:type="spellEnd"/>
            <w:r w:rsidR="00425B00" w:rsidRPr="004F7E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20B30B86" w14:textId="329C9D10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  <w:proofErr w:type="spellStart"/>
            <w:r w:rsidRPr="004F7E58">
              <w:rPr>
                <w:sz w:val="20"/>
                <w:szCs w:val="20"/>
              </w:rPr>
              <w:t>Vrhovna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revizorska</w:t>
            </w:r>
            <w:proofErr w:type="spellEnd"/>
            <w:r w:rsidRPr="004F7E58">
              <w:rPr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sz w:val="20"/>
                <w:szCs w:val="20"/>
              </w:rPr>
              <w:t>institucija</w:t>
            </w:r>
            <w:proofErr w:type="spellEnd"/>
            <w:r w:rsidR="00425B00" w:rsidRPr="004F7E58">
              <w:rPr>
                <w:sz w:val="20"/>
                <w:szCs w:val="20"/>
              </w:rPr>
              <w:t xml:space="preserve"> </w:t>
            </w:r>
            <w:proofErr w:type="spellStart"/>
            <w:r w:rsidR="00425B00" w:rsidRPr="004F7E58">
              <w:rPr>
                <w:sz w:val="20"/>
                <w:szCs w:val="20"/>
              </w:rPr>
              <w:t>Federacije</w:t>
            </w:r>
            <w:proofErr w:type="spellEnd"/>
            <w:r w:rsidR="00425B00" w:rsidRPr="004F7E58">
              <w:rPr>
                <w:sz w:val="20"/>
                <w:szCs w:val="20"/>
              </w:rPr>
              <w:t xml:space="preserve"> </w:t>
            </w:r>
            <w:proofErr w:type="spellStart"/>
            <w:r w:rsidR="00425B00" w:rsidRPr="004F7E58">
              <w:rPr>
                <w:sz w:val="20"/>
                <w:szCs w:val="20"/>
              </w:rPr>
              <w:t>Bosne</w:t>
            </w:r>
            <w:proofErr w:type="spellEnd"/>
            <w:r w:rsidR="00425B00" w:rsidRPr="004F7E58">
              <w:rPr>
                <w:sz w:val="20"/>
                <w:szCs w:val="20"/>
              </w:rPr>
              <w:t xml:space="preserve"> </w:t>
            </w:r>
            <w:proofErr w:type="spellStart"/>
            <w:r w:rsidR="00425B00" w:rsidRPr="004F7E58">
              <w:rPr>
                <w:sz w:val="20"/>
                <w:szCs w:val="20"/>
              </w:rPr>
              <w:t>i</w:t>
            </w:r>
            <w:proofErr w:type="spellEnd"/>
            <w:r w:rsidR="00425B00" w:rsidRPr="004F7E58">
              <w:rPr>
                <w:sz w:val="20"/>
                <w:szCs w:val="20"/>
              </w:rPr>
              <w:t xml:space="preserve"> </w:t>
            </w:r>
            <w:proofErr w:type="spellStart"/>
            <w:r w:rsidR="00425B00" w:rsidRPr="004F7E58">
              <w:rPr>
                <w:sz w:val="20"/>
                <w:szCs w:val="20"/>
              </w:rPr>
              <w:t>Hercegovine</w:t>
            </w:r>
            <w:proofErr w:type="spellEnd"/>
          </w:p>
        </w:tc>
      </w:tr>
      <w:tr w:rsidR="00B963AD" w:rsidRPr="004F7E58" w14:paraId="7581A3BD" w14:textId="77777777" w:rsidTr="00DC7F97">
        <w:trPr>
          <w:trHeight w:val="366"/>
        </w:trPr>
        <w:tc>
          <w:tcPr>
            <w:tcW w:w="1668" w:type="dxa"/>
            <w:tcBorders>
              <w:top w:val="single" w:sz="6" w:space="0" w:color="F2F2F2"/>
              <w:left w:val="single" w:sz="4" w:space="0" w:color="F2F2F2"/>
              <w:bottom w:val="single" w:sz="6" w:space="0" w:color="F2F2F2"/>
              <w:right w:val="single" w:sz="6" w:space="0" w:color="F2F2F2"/>
            </w:tcBorders>
          </w:tcPr>
          <w:p w14:paraId="69E1AA87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</w:p>
        </w:tc>
        <w:tc>
          <w:tcPr>
            <w:tcW w:w="757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4" w:space="0" w:color="F2F2F2"/>
            </w:tcBorders>
          </w:tcPr>
          <w:p w14:paraId="1157EF3D" w14:textId="77777777" w:rsidR="00B963AD" w:rsidRPr="004F7E58" w:rsidRDefault="00B963AD" w:rsidP="00DC7F97">
            <w:pPr>
              <w:shd w:val="clear" w:color="auto" w:fill="FFFFFF"/>
              <w:spacing w:beforeLines="20" w:before="48" w:after="0"/>
              <w:rPr>
                <w:sz w:val="20"/>
                <w:szCs w:val="20"/>
              </w:rPr>
            </w:pPr>
          </w:p>
        </w:tc>
      </w:tr>
    </w:tbl>
    <w:p w14:paraId="3B1DF34E" w14:textId="4E99B0B7" w:rsidR="007D0BCD" w:rsidRPr="004F7E58" w:rsidRDefault="007D0BCD" w:rsidP="00C97686">
      <w:pPr>
        <w:pStyle w:val="Heading1"/>
        <w:numPr>
          <w:ilvl w:val="0"/>
          <w:numId w:val="12"/>
        </w:numPr>
        <w:ind w:left="0" w:firstLine="0"/>
        <w:rPr>
          <w:b/>
          <w:color w:val="C00000"/>
        </w:rPr>
      </w:pPr>
      <w:bookmarkStart w:id="2" w:name="_Toc214450215"/>
      <w:proofErr w:type="spellStart"/>
      <w:r w:rsidRPr="004F7E58">
        <w:rPr>
          <w:b/>
          <w:color w:val="C00000"/>
        </w:rPr>
        <w:lastRenderedPageBreak/>
        <w:t>Uvod</w:t>
      </w:r>
      <w:bookmarkEnd w:id="2"/>
      <w:proofErr w:type="spellEnd"/>
      <w:r w:rsidRPr="004F7E58">
        <w:rPr>
          <w:b/>
          <w:color w:val="C00000"/>
        </w:rPr>
        <w:t xml:space="preserve"> </w:t>
      </w:r>
    </w:p>
    <w:p w14:paraId="070BD347" w14:textId="77777777" w:rsidR="007D0BCD" w:rsidRPr="004F7E58" w:rsidRDefault="007D0BCD" w:rsidP="007D0BCD"/>
    <w:p w14:paraId="44C29569" w14:textId="3F710029" w:rsidR="002E39AF" w:rsidRPr="004F7E58" w:rsidRDefault="009C726D" w:rsidP="00B72097">
      <w:pPr>
        <w:spacing w:line="240" w:lineRule="auto"/>
        <w:jc w:val="both"/>
      </w:pPr>
      <w:proofErr w:type="spellStart"/>
      <w:r w:rsidRPr="004F7E58">
        <w:t>Godišnji</w:t>
      </w:r>
      <w:proofErr w:type="spellEnd"/>
      <w:r w:rsidRPr="004F7E58">
        <w:t xml:space="preserve"> </w:t>
      </w:r>
      <w:proofErr w:type="spellStart"/>
      <w:r w:rsidR="007D0BCD" w:rsidRPr="004F7E58">
        <w:t>izvještaj</w:t>
      </w:r>
      <w:proofErr w:type="spellEnd"/>
      <w:r w:rsidR="007D0BCD" w:rsidRPr="004F7E58">
        <w:t xml:space="preserve"> </w:t>
      </w:r>
      <w:r w:rsidRPr="004F7E58">
        <w:t xml:space="preserve">o </w:t>
      </w:r>
      <w:proofErr w:type="spellStart"/>
      <w:r w:rsidRPr="004F7E58">
        <w:t>realizaciji</w:t>
      </w:r>
      <w:proofErr w:type="spellEnd"/>
      <w:r w:rsidRPr="004F7E58">
        <w:t xml:space="preserve"> (</w:t>
      </w:r>
      <w:proofErr w:type="spellStart"/>
      <w:r w:rsidRPr="004F7E58">
        <w:t>GIR</w:t>
      </w:r>
      <w:proofErr w:type="spellEnd"/>
      <w:r w:rsidRPr="004F7E58">
        <w:t xml:space="preserve">) </w:t>
      </w:r>
      <w:proofErr w:type="spellStart"/>
      <w:r w:rsidR="007D0BCD" w:rsidRPr="004F7E58">
        <w:t>predstavlja</w:t>
      </w:r>
      <w:proofErr w:type="spellEnd"/>
      <w:r w:rsidR="007D0BCD" w:rsidRPr="004F7E58">
        <w:t xml:space="preserve"> </w:t>
      </w:r>
      <w:proofErr w:type="spellStart"/>
      <w:r w:rsidR="007D0BCD" w:rsidRPr="004F7E58">
        <w:t>pregled</w:t>
      </w:r>
      <w:proofErr w:type="spellEnd"/>
      <w:r w:rsidR="007D0BCD" w:rsidRPr="004F7E58">
        <w:t xml:space="preserve"> </w:t>
      </w:r>
      <w:proofErr w:type="spellStart"/>
      <w:r w:rsidR="007D0BCD" w:rsidRPr="004F7E58">
        <w:t>provedenih</w:t>
      </w:r>
      <w:proofErr w:type="spellEnd"/>
      <w:r w:rsidR="007D0BCD" w:rsidRPr="004F7E58">
        <w:t xml:space="preserve"> </w:t>
      </w:r>
      <w:proofErr w:type="spellStart"/>
      <w:r w:rsidR="007D0BCD" w:rsidRPr="004F7E58">
        <w:t>aktivnosti</w:t>
      </w:r>
      <w:proofErr w:type="spellEnd"/>
      <w:r w:rsidR="007D0BCD" w:rsidRPr="004F7E58">
        <w:t xml:space="preserve"> </w:t>
      </w:r>
      <w:proofErr w:type="spellStart"/>
      <w:r w:rsidR="007D0BCD" w:rsidRPr="004F7E58">
        <w:t>i</w:t>
      </w:r>
      <w:proofErr w:type="spellEnd"/>
      <w:r w:rsidR="007D0BCD" w:rsidRPr="004F7E58">
        <w:t xml:space="preserve"> </w:t>
      </w:r>
      <w:proofErr w:type="spellStart"/>
      <w:r w:rsidR="007D0BCD" w:rsidRPr="004F7E58">
        <w:t>ostvarenih</w:t>
      </w:r>
      <w:proofErr w:type="spellEnd"/>
      <w:r w:rsidR="007D0BCD" w:rsidRPr="004F7E58">
        <w:t xml:space="preserve"> </w:t>
      </w:r>
      <w:proofErr w:type="spellStart"/>
      <w:r w:rsidR="007D0BCD" w:rsidRPr="004F7E58">
        <w:t>rezultata</w:t>
      </w:r>
      <w:proofErr w:type="spellEnd"/>
      <w:r w:rsidR="007D0BCD" w:rsidRPr="004F7E58">
        <w:t xml:space="preserve"> u </w:t>
      </w:r>
      <w:proofErr w:type="spellStart"/>
      <w:r w:rsidR="007D0BCD" w:rsidRPr="004F7E58">
        <w:t>okviru</w:t>
      </w:r>
      <w:proofErr w:type="spellEnd"/>
      <w:r w:rsidR="007D0BCD" w:rsidRPr="004F7E58">
        <w:t xml:space="preserve"> </w:t>
      </w:r>
      <w:proofErr w:type="spellStart"/>
      <w:r w:rsidR="00083707" w:rsidRPr="004F7E58">
        <w:t>Strategije</w:t>
      </w:r>
      <w:proofErr w:type="spellEnd"/>
      <w:r w:rsidR="00083707" w:rsidRPr="004F7E58">
        <w:t xml:space="preserve"> </w:t>
      </w:r>
      <w:proofErr w:type="spellStart"/>
      <w:r w:rsidR="00083707" w:rsidRPr="004F7E58">
        <w:t>reforme</w:t>
      </w:r>
      <w:proofErr w:type="spellEnd"/>
      <w:r w:rsidR="00EC48AC" w:rsidRPr="004F7E58">
        <w:t xml:space="preserve"> </w:t>
      </w:r>
      <w:proofErr w:type="spellStart"/>
      <w:r w:rsidR="00083707" w:rsidRPr="004F7E58">
        <w:t>upravljanja</w:t>
      </w:r>
      <w:proofErr w:type="spellEnd"/>
      <w:r w:rsidR="00083707" w:rsidRPr="004F7E58">
        <w:t xml:space="preserve"> </w:t>
      </w:r>
      <w:proofErr w:type="spellStart"/>
      <w:r w:rsidR="00083707" w:rsidRPr="004F7E58">
        <w:t>javnim</w:t>
      </w:r>
      <w:proofErr w:type="spellEnd"/>
      <w:r w:rsidR="00083707" w:rsidRPr="004F7E58">
        <w:t xml:space="preserve"> </w:t>
      </w:r>
      <w:proofErr w:type="spellStart"/>
      <w:r w:rsidR="00083707" w:rsidRPr="004F7E58">
        <w:t>finansijama</w:t>
      </w:r>
      <w:proofErr w:type="spellEnd"/>
      <w:r w:rsidR="00083707" w:rsidRPr="004F7E58">
        <w:t xml:space="preserve"> 2021-2025. </w:t>
      </w:r>
      <w:proofErr w:type="spellStart"/>
      <w:r w:rsidR="00083707" w:rsidRPr="004F7E58">
        <w:t>F</w:t>
      </w:r>
      <w:r w:rsidR="00FD0B72" w:rsidRPr="004F7E58">
        <w:t>ederacije</w:t>
      </w:r>
      <w:proofErr w:type="spellEnd"/>
      <w:r w:rsidR="00FD0B72" w:rsidRPr="004F7E58">
        <w:t xml:space="preserve"> </w:t>
      </w:r>
      <w:proofErr w:type="spellStart"/>
      <w:r w:rsidR="00083707" w:rsidRPr="004F7E58">
        <w:t>B</w:t>
      </w:r>
      <w:r w:rsidR="00FD0B72" w:rsidRPr="004F7E58">
        <w:t>osne</w:t>
      </w:r>
      <w:proofErr w:type="spellEnd"/>
      <w:r w:rsidR="00FD0B72" w:rsidRPr="004F7E58">
        <w:t xml:space="preserve"> </w:t>
      </w:r>
      <w:proofErr w:type="spellStart"/>
      <w:r w:rsidR="00FD0B72" w:rsidRPr="004F7E58">
        <w:t>i</w:t>
      </w:r>
      <w:proofErr w:type="spellEnd"/>
      <w:r w:rsidR="00FD0B72" w:rsidRPr="004F7E58">
        <w:t xml:space="preserve"> </w:t>
      </w:r>
      <w:proofErr w:type="spellStart"/>
      <w:r w:rsidR="00FD0B72" w:rsidRPr="004F7E58">
        <w:t>Hercegovine</w:t>
      </w:r>
      <w:proofErr w:type="spellEnd"/>
      <w:r w:rsidR="00FD0B72" w:rsidRPr="004F7E58">
        <w:t xml:space="preserve"> (FBIH)</w:t>
      </w:r>
      <w:r w:rsidR="00083707" w:rsidRPr="004F7E58">
        <w:t xml:space="preserve"> </w:t>
      </w:r>
      <w:r w:rsidR="007D0BCD" w:rsidRPr="004F7E58">
        <w:t xml:space="preserve">za period </w:t>
      </w:r>
      <w:r w:rsidR="00AD67D5" w:rsidRPr="004F7E58">
        <w:t xml:space="preserve">2024. </w:t>
      </w:r>
      <w:proofErr w:type="spellStart"/>
      <w:r w:rsidR="007D0BCD" w:rsidRPr="004F7E58">
        <w:t>godine</w:t>
      </w:r>
      <w:proofErr w:type="spellEnd"/>
      <w:r w:rsidR="007D0BCD" w:rsidRPr="004F7E58">
        <w:t xml:space="preserve">. </w:t>
      </w:r>
      <w:proofErr w:type="spellStart"/>
      <w:r w:rsidR="007D0BCD" w:rsidRPr="004F7E58">
        <w:t>Izvještaj</w:t>
      </w:r>
      <w:proofErr w:type="spellEnd"/>
      <w:r w:rsidR="007D0BCD" w:rsidRPr="004F7E58">
        <w:t xml:space="preserve"> je </w:t>
      </w:r>
      <w:proofErr w:type="spellStart"/>
      <w:r w:rsidR="007D0BCD" w:rsidRPr="004F7E58">
        <w:t>pripremil</w:t>
      </w:r>
      <w:r w:rsidR="00220D27" w:rsidRPr="004F7E58">
        <w:t>o</w:t>
      </w:r>
      <w:proofErr w:type="spellEnd"/>
      <w:r w:rsidR="00D25CD2" w:rsidRPr="004F7E58">
        <w:t xml:space="preserve"> </w:t>
      </w:r>
      <w:proofErr w:type="spellStart"/>
      <w:r w:rsidR="00D25CD2" w:rsidRPr="004F7E58">
        <w:t>Federalno</w:t>
      </w:r>
      <w:proofErr w:type="spellEnd"/>
      <w:r w:rsidR="00D25CD2" w:rsidRPr="004F7E58">
        <w:t xml:space="preserve"> </w:t>
      </w:r>
      <w:proofErr w:type="spellStart"/>
      <w:r w:rsidR="00D25CD2" w:rsidRPr="004F7E58">
        <w:t>m</w:t>
      </w:r>
      <w:r w:rsidR="00220D27" w:rsidRPr="004F7E58">
        <w:t>inistarstvo</w:t>
      </w:r>
      <w:proofErr w:type="spellEnd"/>
      <w:r w:rsidR="00220D27" w:rsidRPr="004F7E58">
        <w:t xml:space="preserve"> </w:t>
      </w:r>
      <w:proofErr w:type="spellStart"/>
      <w:r w:rsidR="00220D27" w:rsidRPr="004F7E58">
        <w:t>finansija</w:t>
      </w:r>
      <w:proofErr w:type="spellEnd"/>
      <w:r w:rsidR="007D0BCD" w:rsidRPr="004F7E58">
        <w:t xml:space="preserve"> </w:t>
      </w:r>
      <w:r w:rsidR="00D25CD2" w:rsidRPr="004F7E58">
        <w:t xml:space="preserve">(FMF) </w:t>
      </w:r>
      <w:proofErr w:type="spellStart"/>
      <w:r w:rsidR="007D0BCD" w:rsidRPr="004F7E58">
        <w:t>na</w:t>
      </w:r>
      <w:proofErr w:type="spellEnd"/>
      <w:r w:rsidR="007D0BCD" w:rsidRPr="004F7E58">
        <w:t xml:space="preserve"> </w:t>
      </w:r>
      <w:proofErr w:type="spellStart"/>
      <w:r w:rsidR="007D0BCD" w:rsidRPr="004F7E58">
        <w:t>osnovu</w:t>
      </w:r>
      <w:proofErr w:type="spellEnd"/>
      <w:r w:rsidR="007D0BCD" w:rsidRPr="004F7E58">
        <w:t xml:space="preserve"> </w:t>
      </w:r>
      <w:proofErr w:type="spellStart"/>
      <w:r w:rsidR="007D0BCD" w:rsidRPr="004F7E58">
        <w:t>informacija</w:t>
      </w:r>
      <w:proofErr w:type="spellEnd"/>
      <w:r w:rsidR="007D0BCD" w:rsidRPr="004F7E58">
        <w:t xml:space="preserve"> </w:t>
      </w:r>
      <w:proofErr w:type="spellStart"/>
      <w:r w:rsidR="007D0BCD" w:rsidRPr="004F7E58">
        <w:t>koje</w:t>
      </w:r>
      <w:proofErr w:type="spellEnd"/>
      <w:r w:rsidR="007D0BCD" w:rsidRPr="004F7E58">
        <w:t xml:space="preserve"> </w:t>
      </w:r>
      <w:proofErr w:type="spellStart"/>
      <w:r w:rsidR="007D0BCD" w:rsidRPr="004F7E58">
        <w:t>su</w:t>
      </w:r>
      <w:proofErr w:type="spellEnd"/>
      <w:r w:rsidR="007D0BCD" w:rsidRPr="004F7E58">
        <w:t xml:space="preserve"> </w:t>
      </w:r>
      <w:proofErr w:type="spellStart"/>
      <w:r w:rsidR="007D0BCD" w:rsidRPr="004F7E58">
        <w:t>dostavili</w:t>
      </w:r>
      <w:proofErr w:type="spellEnd"/>
      <w:r w:rsidR="007D0BCD" w:rsidRPr="004F7E58">
        <w:t xml:space="preserve"> </w:t>
      </w:r>
      <w:proofErr w:type="spellStart"/>
      <w:r w:rsidR="007D0BCD" w:rsidRPr="004F7E58">
        <w:t>nadležne</w:t>
      </w:r>
      <w:proofErr w:type="spellEnd"/>
      <w:r w:rsidR="007D0BCD" w:rsidRPr="004F7E58">
        <w:t xml:space="preserve"> </w:t>
      </w:r>
      <w:proofErr w:type="spellStart"/>
      <w:r w:rsidR="007D0BCD" w:rsidRPr="004F7E58">
        <w:t>institucije</w:t>
      </w:r>
      <w:proofErr w:type="spellEnd"/>
      <w:r w:rsidR="007D0BCD" w:rsidRPr="004F7E58">
        <w:t>/</w:t>
      </w:r>
      <w:proofErr w:type="spellStart"/>
      <w:r w:rsidR="007D0BCD" w:rsidRPr="004F7E58">
        <w:t>sektori</w:t>
      </w:r>
      <w:proofErr w:type="spellEnd"/>
      <w:r w:rsidR="007D0BCD" w:rsidRPr="004F7E58">
        <w:t xml:space="preserve"> koji </w:t>
      </w:r>
      <w:proofErr w:type="spellStart"/>
      <w:r w:rsidR="007D0BCD" w:rsidRPr="004F7E58">
        <w:t>su</w:t>
      </w:r>
      <w:proofErr w:type="spellEnd"/>
      <w:r w:rsidR="007D0BCD" w:rsidRPr="004F7E58">
        <w:t xml:space="preserve"> </w:t>
      </w:r>
      <w:proofErr w:type="spellStart"/>
      <w:r w:rsidR="008E5598" w:rsidRPr="004F7E58">
        <w:t>koordinatori</w:t>
      </w:r>
      <w:proofErr w:type="spellEnd"/>
      <w:r w:rsidR="008E5598" w:rsidRPr="004F7E58">
        <w:t xml:space="preserve"> </w:t>
      </w:r>
      <w:proofErr w:type="spellStart"/>
      <w:r w:rsidR="008E5598" w:rsidRPr="004F7E58">
        <w:t>stubova</w:t>
      </w:r>
      <w:proofErr w:type="spellEnd"/>
      <w:r w:rsidR="008E5598" w:rsidRPr="004F7E58">
        <w:t xml:space="preserve">, </w:t>
      </w:r>
      <w:proofErr w:type="spellStart"/>
      <w:r w:rsidR="008E5598" w:rsidRPr="004F7E58">
        <w:t>mjera</w:t>
      </w:r>
      <w:proofErr w:type="spellEnd"/>
      <w:r w:rsidR="008E5598" w:rsidRPr="004F7E58">
        <w:t xml:space="preserve"> </w:t>
      </w:r>
      <w:proofErr w:type="spellStart"/>
      <w:r w:rsidRPr="004F7E58">
        <w:t>i</w:t>
      </w:r>
      <w:proofErr w:type="spellEnd"/>
      <w:r w:rsidR="008E5598" w:rsidRPr="004F7E58">
        <w:t xml:space="preserve"> </w:t>
      </w:r>
      <w:proofErr w:type="spellStart"/>
      <w:r w:rsidR="007D0BCD" w:rsidRPr="004F7E58">
        <w:t>nosioci</w:t>
      </w:r>
      <w:proofErr w:type="spellEnd"/>
      <w:r w:rsidR="007D0BCD" w:rsidRPr="004F7E58">
        <w:t xml:space="preserve"> </w:t>
      </w:r>
      <w:proofErr w:type="spellStart"/>
      <w:r w:rsidR="007D0BCD" w:rsidRPr="004F7E58">
        <w:t>provođenja</w:t>
      </w:r>
      <w:proofErr w:type="spellEnd"/>
      <w:r w:rsidR="007D0BCD" w:rsidRPr="004F7E58">
        <w:t xml:space="preserve"> </w:t>
      </w:r>
      <w:proofErr w:type="spellStart"/>
      <w:r w:rsidR="007D0BCD" w:rsidRPr="004F7E58">
        <w:t>aktivnosti</w:t>
      </w:r>
      <w:proofErr w:type="spellEnd"/>
      <w:r w:rsidR="007D0BCD" w:rsidRPr="004F7E58">
        <w:t>.</w:t>
      </w:r>
    </w:p>
    <w:p w14:paraId="7B92F282" w14:textId="5AFC73A2" w:rsidR="00E67709" w:rsidRPr="004F7E58" w:rsidRDefault="00E67709" w:rsidP="00B72097">
      <w:pPr>
        <w:pStyle w:val="NormalPFM1"/>
        <w:spacing w:line="240" w:lineRule="auto"/>
        <w:rPr>
          <w:noProof/>
          <w:lang w:val="bs-Latn-BA"/>
        </w:rPr>
      </w:pP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Realizacija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je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predstavljena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po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stubovima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kumulativno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za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sve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aktivnosti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po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svim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mjerama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u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okviru</w:t>
      </w:r>
      <w:proofErr w:type="spellEnd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stuba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za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čitavu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Strategiju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bez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obzira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na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to da li je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aktivnost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planirana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za 202</w:t>
      </w:r>
      <w:r w:rsidR="00DC48D9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4</w:t>
      </w:r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. </w:t>
      </w:r>
      <w:proofErr w:type="spellStart"/>
      <w:r w:rsidR="0057576E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i</w:t>
      </w:r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li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drugu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godinu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. U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samom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izvještaju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se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daju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detaljnije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informacije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o </w:t>
      </w:r>
      <w:proofErr w:type="spellStart"/>
      <w:r w:rsidR="00DC48D9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napretku</w:t>
      </w:r>
      <w:proofErr w:type="spellEnd"/>
      <w:r w:rsidR="00DC48D9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po </w:t>
      </w:r>
      <w:proofErr w:type="spellStart"/>
      <w:r w:rsidR="00EC48AC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stubovima</w:t>
      </w:r>
      <w:proofErr w:type="spellEnd"/>
      <w:r w:rsidR="00EC48AC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</w:t>
      </w:r>
      <w:proofErr w:type="spellStart"/>
      <w:r w:rsidR="00EC48AC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mjerama</w:t>
      </w:r>
      <w:proofErr w:type="spellEnd"/>
      <w:r w:rsidR="00EC48AC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EC48AC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i</w:t>
      </w:r>
      <w:proofErr w:type="spellEnd"/>
      <w:r w:rsidR="00EC48AC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aktivnostima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koje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su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planirane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za 202</w:t>
      </w:r>
      <w:r w:rsidR="00DC48D9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4</w:t>
      </w:r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. </w:t>
      </w:r>
      <w:proofErr w:type="spellStart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godinu</w:t>
      </w:r>
      <w:proofErr w:type="spellEnd"/>
      <w:r w:rsidR="00BA1CBB"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. </w:t>
      </w:r>
      <w:r w:rsidRPr="004F7E58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</w:p>
    <w:p w14:paraId="18D09726" w14:textId="4750EB0F" w:rsidR="0078617B" w:rsidRPr="004F7E58" w:rsidRDefault="00691F1C" w:rsidP="004D2EC3">
      <w:pPr>
        <w:pStyle w:val="Heading1"/>
        <w:numPr>
          <w:ilvl w:val="0"/>
          <w:numId w:val="12"/>
        </w:numPr>
        <w:ind w:left="0" w:firstLine="0"/>
        <w:rPr>
          <w:b/>
          <w:color w:val="C00000"/>
        </w:rPr>
      </w:pPr>
      <w:bookmarkStart w:id="3" w:name="_Toc214450216"/>
      <w:proofErr w:type="spellStart"/>
      <w:r w:rsidRPr="004F7E58">
        <w:rPr>
          <w:b/>
          <w:color w:val="C00000"/>
        </w:rPr>
        <w:t>Strateški</w:t>
      </w:r>
      <w:proofErr w:type="spellEnd"/>
      <w:r w:rsidR="00C643CD" w:rsidRPr="004F7E58">
        <w:rPr>
          <w:b/>
          <w:color w:val="C00000"/>
        </w:rPr>
        <w:t xml:space="preserve"> </w:t>
      </w:r>
      <w:proofErr w:type="spellStart"/>
      <w:r w:rsidR="00C643CD" w:rsidRPr="004F7E58">
        <w:rPr>
          <w:b/>
          <w:color w:val="C00000"/>
        </w:rPr>
        <w:t>kontekst</w:t>
      </w:r>
      <w:proofErr w:type="spellEnd"/>
      <w:r w:rsidR="00AE7050" w:rsidRPr="004F7E58">
        <w:rPr>
          <w:b/>
          <w:color w:val="C00000"/>
        </w:rPr>
        <w:t xml:space="preserve"> za </w:t>
      </w:r>
      <w:proofErr w:type="spellStart"/>
      <w:r w:rsidR="00AE7050" w:rsidRPr="004F7E58">
        <w:rPr>
          <w:b/>
          <w:color w:val="C00000"/>
        </w:rPr>
        <w:t>GIR</w:t>
      </w:r>
      <w:proofErr w:type="spellEnd"/>
      <w:r w:rsidR="00AE7050" w:rsidRPr="004F7E58">
        <w:rPr>
          <w:b/>
          <w:color w:val="C00000"/>
        </w:rPr>
        <w:t xml:space="preserve"> </w:t>
      </w:r>
      <w:r w:rsidR="0041695F" w:rsidRPr="004F7E58">
        <w:rPr>
          <w:b/>
          <w:color w:val="C00000"/>
        </w:rPr>
        <w:t>202</w:t>
      </w:r>
      <w:r w:rsidR="00FD7083" w:rsidRPr="004F7E58">
        <w:rPr>
          <w:b/>
          <w:color w:val="C00000"/>
        </w:rPr>
        <w:t>4</w:t>
      </w:r>
      <w:r w:rsidR="00AE7050" w:rsidRPr="004F7E58">
        <w:rPr>
          <w:b/>
          <w:color w:val="C00000"/>
        </w:rPr>
        <w:t xml:space="preserve">. </w:t>
      </w:r>
      <w:proofErr w:type="spellStart"/>
      <w:r w:rsidR="00AE7050" w:rsidRPr="004F7E58">
        <w:rPr>
          <w:b/>
          <w:color w:val="C00000"/>
        </w:rPr>
        <w:t>godine</w:t>
      </w:r>
      <w:bookmarkEnd w:id="3"/>
      <w:proofErr w:type="spellEnd"/>
    </w:p>
    <w:p w14:paraId="15433F3C" w14:textId="5000AE1D" w:rsidR="00A941B1" w:rsidRPr="004F7E58" w:rsidRDefault="00A941B1">
      <w:pPr>
        <w:rPr>
          <w:noProof/>
        </w:rPr>
      </w:pPr>
    </w:p>
    <w:p w14:paraId="28F27C02" w14:textId="5EF570DF" w:rsidR="00E62E9B" w:rsidRPr="004F7E58" w:rsidRDefault="00CA6F9C" w:rsidP="00B7209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Ostvarenja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u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provođenju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Strategije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iz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prethodnog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perioda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revizija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rokova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ko</w:t>
      </w:r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jom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je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osigurano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ravnomjernije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raspoređ</w:t>
      </w:r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ivanje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napora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na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provođenju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stvorila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je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stabilniiji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kontekst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za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implementaciju</w:t>
      </w:r>
      <w:proofErr w:type="spellEnd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u 202</w:t>
      </w:r>
      <w:r w:rsidR="00DC48D9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4</w:t>
      </w:r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="00E35C4A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godini</w:t>
      </w:r>
      <w:proofErr w:type="spellEnd"/>
      <w:r w:rsidR="00317966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.</w:t>
      </w:r>
      <w:r w:rsidR="00F415B6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</w:p>
    <w:p w14:paraId="1559C67B" w14:textId="0E091CB9" w:rsidR="00865C42" w:rsidRPr="004F7E58" w:rsidRDefault="00E62E9B" w:rsidP="00B7209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Tokom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202</w:t>
      </w:r>
      <w:r w:rsidR="00DC48D9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4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je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napravljen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iskorak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stopi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implementacije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strategije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od 5% 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– 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kumulativno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2</w:t>
      </w:r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5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%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aktivnosti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je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izvršeno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u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potpunosti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-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dok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je 4</w:t>
      </w:r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3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% 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aktivnosti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bilo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u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toku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po 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planu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Postignuto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je </w:t>
      </w:r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3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%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ciljeva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po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mjerama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u 2024. 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godini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(</w:t>
      </w:r>
      <w:proofErr w:type="spellStart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kumulativno</w:t>
      </w:r>
      <w:proofErr w:type="spellEnd"/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13%)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dok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r w:rsidR="004F7E5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je 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32% </w:t>
      </w:r>
      <w:proofErr w:type="spellStart"/>
      <w:r w:rsidR="004F7E5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rezultata</w:t>
      </w:r>
      <w:proofErr w:type="spellEnd"/>
      <w:r w:rsidR="004F7E5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4F7E5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mjera</w:t>
      </w:r>
      <w:proofErr w:type="spellEnd"/>
      <w:r w:rsidR="004F7E5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djelimično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4F7E5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postignuto</w:t>
      </w:r>
      <w:proofErr w:type="spellEnd"/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</w:t>
      </w:r>
    </w:p>
    <w:p w14:paraId="75A7C645" w14:textId="59417C6E" w:rsidR="00224658" w:rsidRPr="004F7E58" w:rsidRDefault="00224658" w:rsidP="0022465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trike/>
          <w:sz w:val="22"/>
          <w:szCs w:val="22"/>
          <w:shd w:val="clear" w:color="auto" w:fill="FFFFFF"/>
          <w:lang w:val="bs-Latn-BA"/>
        </w:rPr>
      </w:pP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Odstupanja od plana su bila minimalna, samo </w:t>
      </w:r>
      <w:r w:rsidR="00FD708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4 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od ukupno 93 aktivnosti su kasnile sa početkom tokom 202</w:t>
      </w:r>
      <w:r w:rsidR="00DC48D9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4</w:t>
      </w: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. godine. Obrazloženje tog odstupanja je prezentirano u poglavlju 5 ovog izvještaja. </w:t>
      </w:r>
    </w:p>
    <w:p w14:paraId="2955CD1E" w14:textId="14AF4C78" w:rsidR="009F7BB2" w:rsidRPr="004F7E58" w:rsidRDefault="000D737C" w:rsidP="00B7209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</w:pPr>
      <w:r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Glavni izvori finansiranja aktivnosti u izvještajnom period je bio budžet Federacije BiH i projekti donatorske podrške. </w:t>
      </w:r>
      <w:r w:rsidR="004D1C5D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Tehnička podrška koju je 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FMF</w:t>
      </w:r>
      <w:r w:rsidR="00467FFE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 </w:t>
      </w:r>
      <w:r w:rsidR="004D1C5D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dobilo tokom </w:t>
      </w:r>
      <w:r w:rsidR="00CC2540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202</w:t>
      </w:r>
      <w:r w:rsidR="004C4174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4</w:t>
      </w:r>
      <w:r w:rsidR="004D1C5D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. godine bila 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je </w:t>
      </w:r>
      <w:r w:rsidR="004D1C5D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pružena od strane EU kroz 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nastavak</w:t>
      </w:r>
      <w:r w:rsidR="002C746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 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projek</w:t>
      </w:r>
      <w:r w:rsidR="00B67C0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ta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 </w:t>
      </w:r>
      <w:r w:rsidR="004D1C5D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podrške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 u oblasti upravljanj</w:t>
      </w:r>
      <w:r w:rsidR="00B67C0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a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 </w:t>
      </w:r>
      <w:r w:rsidR="004D1C5D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investicija</w:t>
      </w:r>
      <w:r w:rsidR="00876984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ma</w:t>
      </w:r>
      <w:r w:rsidR="00B67C0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. </w:t>
      </w:r>
      <w:r w:rsidR="00DC48D9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Neplanirano je okončana </w:t>
      </w:r>
      <w:r w:rsidR="00B67C0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sar</w:t>
      </w:r>
      <w:r w:rsidR="004F7E5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ad</w:t>
      </w:r>
      <w:r w:rsidR="00B67C0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nja sa </w:t>
      </w:r>
      <w:r w:rsidR="002C746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dugo očekivanim</w:t>
      </w:r>
      <w:r w:rsidR="00B67C08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 USAID projektom </w:t>
      </w:r>
      <w:r w:rsidR="00237346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„</w:t>
      </w:r>
      <w:r w:rsidR="002C7463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Fiscal Reform Activity“ (FRA)</w:t>
      </w:r>
      <w:r w:rsidR="002C7463" w:rsidRPr="004F7E58">
        <w:rPr>
          <w:rStyle w:val="FootnoteReference"/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footnoteReference w:id="1"/>
      </w:r>
      <w:r w:rsidR="00237346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“ </w:t>
      </w:r>
      <w:r w:rsidR="00DC48D9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sa krajem </w:t>
      </w:r>
      <w:r w:rsidR="00237346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202</w:t>
      </w:r>
      <w:r w:rsidR="00DC48D9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>4</w:t>
      </w:r>
      <w:r w:rsidR="00237346" w:rsidRPr="004F7E58">
        <w:rPr>
          <w:rFonts w:asciiTheme="minorHAnsi" w:hAnsiTheme="minorHAnsi" w:cstheme="minorHAnsi"/>
          <w:sz w:val="22"/>
          <w:szCs w:val="22"/>
          <w:shd w:val="clear" w:color="auto" w:fill="FFFFFF"/>
          <w:lang w:val="bs-Latn-BA"/>
        </w:rPr>
        <w:t xml:space="preserve">. godine. </w:t>
      </w:r>
      <w:r w:rsidR="004D1C5D" w:rsidRPr="004F7E5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6E147891" w14:textId="6BB495B7" w:rsidR="00B67C08" w:rsidRPr="004F7E58" w:rsidRDefault="00DC48D9" w:rsidP="00B67C08">
      <w:pPr>
        <w:spacing w:line="240" w:lineRule="auto"/>
        <w:jc w:val="both"/>
        <w:rPr>
          <w:lang w:val="hr-HR"/>
        </w:rPr>
      </w:pPr>
      <w:r w:rsidRPr="004F7E58">
        <w:rPr>
          <w:lang w:val="hr-HR"/>
        </w:rPr>
        <w:t xml:space="preserve">Nastavljena je podrška </w:t>
      </w:r>
      <w:r w:rsidR="00B67C08" w:rsidRPr="004F7E58">
        <w:rPr>
          <w:lang w:val="hr-HR"/>
        </w:rPr>
        <w:t>donatora</w:t>
      </w:r>
      <w:r w:rsidRPr="004F7E58">
        <w:rPr>
          <w:lang w:val="hr-HR"/>
        </w:rPr>
        <w:t xml:space="preserve">, </w:t>
      </w:r>
      <w:r w:rsidR="00B67C08" w:rsidRPr="004F7E58">
        <w:rPr>
          <w:lang w:val="hr-HR"/>
        </w:rPr>
        <w:t>Evropsk</w:t>
      </w:r>
      <w:r w:rsidRPr="004F7E58">
        <w:rPr>
          <w:lang w:val="hr-HR"/>
        </w:rPr>
        <w:t>e</w:t>
      </w:r>
      <w:r w:rsidR="00B67C08" w:rsidRPr="004F7E58">
        <w:rPr>
          <w:lang w:val="hr-HR"/>
        </w:rPr>
        <w:t xml:space="preserve"> unij</w:t>
      </w:r>
      <w:r w:rsidRPr="004F7E58">
        <w:rPr>
          <w:lang w:val="hr-HR"/>
        </w:rPr>
        <w:t>e</w:t>
      </w:r>
      <w:r w:rsidR="00B67C08" w:rsidRPr="004F7E58">
        <w:rPr>
          <w:lang w:val="hr-HR"/>
        </w:rPr>
        <w:t xml:space="preserve"> za projekte iz Stuba IV – izvršenje budžeta koje će pomoći u implementaciji niza aktivnosti vezanih za računovodstvene standarde, upravljanje gotovinom i upravljanje dugom. Pored toga, EU je provela proces nabavke za dva IT sistema (dorada </w:t>
      </w:r>
      <w:proofErr w:type="spellStart"/>
      <w:r w:rsidR="00B67C08" w:rsidRPr="004F7E58">
        <w:rPr>
          <w:lang w:val="hr-HR"/>
        </w:rPr>
        <w:t>PIMIS</w:t>
      </w:r>
      <w:proofErr w:type="spellEnd"/>
      <w:r w:rsidR="00B67C08" w:rsidRPr="004F7E58">
        <w:rPr>
          <w:lang w:val="hr-HR"/>
        </w:rPr>
        <w:t xml:space="preserve"> sistema i IT sistem za programski budžet) u ovom periodu, koji će u velikoj mjeri pomoći rad </w:t>
      </w:r>
      <w:proofErr w:type="spellStart"/>
      <w:r w:rsidR="00B67C08" w:rsidRPr="004F7E58">
        <w:rPr>
          <w:lang w:val="hr-HR"/>
        </w:rPr>
        <w:t>FMF</w:t>
      </w:r>
      <w:proofErr w:type="spellEnd"/>
      <w:r w:rsidR="00B67C08" w:rsidRPr="004F7E58">
        <w:rPr>
          <w:lang w:val="hr-HR"/>
        </w:rPr>
        <w:t xml:space="preserve">. </w:t>
      </w:r>
    </w:p>
    <w:p w14:paraId="252DCA0F" w14:textId="6357E72B" w:rsidR="00D55C80" w:rsidRPr="004F7E58" w:rsidRDefault="00D25CD2" w:rsidP="00B72097">
      <w:pPr>
        <w:spacing w:line="240" w:lineRule="auto"/>
        <w:jc w:val="both"/>
        <w:rPr>
          <w:lang w:val="hr-HR"/>
        </w:rPr>
      </w:pPr>
      <w:r w:rsidRPr="004F7E58">
        <w:rPr>
          <w:lang w:val="hr-HR"/>
        </w:rPr>
        <w:t>I u 202</w:t>
      </w:r>
      <w:r w:rsidR="00DC48D9" w:rsidRPr="004F7E58">
        <w:rPr>
          <w:lang w:val="hr-HR"/>
        </w:rPr>
        <w:t>4</w:t>
      </w:r>
      <w:r w:rsidRPr="004F7E58">
        <w:rPr>
          <w:lang w:val="hr-HR"/>
        </w:rPr>
        <w:t xml:space="preserve">. </w:t>
      </w:r>
      <w:r w:rsidR="00D55C80" w:rsidRPr="004F7E58">
        <w:rPr>
          <w:lang w:val="hr-HR"/>
        </w:rPr>
        <w:t xml:space="preserve">godini, predstavnici </w:t>
      </w:r>
      <w:proofErr w:type="spellStart"/>
      <w:r w:rsidRPr="004F7E58">
        <w:rPr>
          <w:lang w:val="hr-HR"/>
        </w:rPr>
        <w:t>FMF</w:t>
      </w:r>
      <w:proofErr w:type="spellEnd"/>
      <w:r w:rsidR="00D55C80" w:rsidRPr="004F7E58">
        <w:rPr>
          <w:lang w:val="hr-HR"/>
        </w:rPr>
        <w:t xml:space="preserve"> su sa koordinatorima ispred Ministarstva </w:t>
      </w:r>
      <w:proofErr w:type="spellStart"/>
      <w:r w:rsidR="00D55C80" w:rsidRPr="004F7E58">
        <w:rPr>
          <w:lang w:val="hr-HR"/>
        </w:rPr>
        <w:t>finansija</w:t>
      </w:r>
      <w:proofErr w:type="spellEnd"/>
      <w:r w:rsidR="00D55C80" w:rsidRPr="004F7E58">
        <w:rPr>
          <w:lang w:val="hr-HR"/>
        </w:rPr>
        <w:t xml:space="preserve"> i trezora Bosne i Hercegovine, Ministarstva </w:t>
      </w:r>
      <w:proofErr w:type="spellStart"/>
      <w:r w:rsidR="00D55C80" w:rsidRPr="004F7E58">
        <w:rPr>
          <w:lang w:val="hr-HR"/>
        </w:rPr>
        <w:t>finansija</w:t>
      </w:r>
      <w:proofErr w:type="spellEnd"/>
      <w:r w:rsidR="00D55C80" w:rsidRPr="004F7E58">
        <w:rPr>
          <w:lang w:val="hr-HR"/>
        </w:rPr>
        <w:t xml:space="preserve"> Republike Srpske</w:t>
      </w:r>
      <w:r w:rsidR="00BB7B64" w:rsidRPr="004F7E58">
        <w:rPr>
          <w:lang w:val="hr-HR"/>
        </w:rPr>
        <w:t xml:space="preserve"> </w:t>
      </w:r>
      <w:r w:rsidRPr="004F7E58">
        <w:rPr>
          <w:lang w:val="hr-HR"/>
        </w:rPr>
        <w:t xml:space="preserve">i </w:t>
      </w:r>
      <w:r w:rsidR="00BB7B64" w:rsidRPr="004F7E58">
        <w:rPr>
          <w:lang w:val="hr-HR"/>
        </w:rPr>
        <w:t xml:space="preserve">Direkcije za </w:t>
      </w:r>
      <w:proofErr w:type="spellStart"/>
      <w:r w:rsidR="00BB7B64" w:rsidRPr="004F7E58">
        <w:rPr>
          <w:lang w:val="hr-HR"/>
        </w:rPr>
        <w:t>finansije</w:t>
      </w:r>
      <w:proofErr w:type="spellEnd"/>
      <w:r w:rsidR="00BB7B64" w:rsidRPr="004F7E58">
        <w:rPr>
          <w:lang w:val="hr-HR"/>
        </w:rPr>
        <w:t xml:space="preserve"> Br</w:t>
      </w:r>
      <w:r w:rsidR="00BB7B64" w:rsidRPr="004F7E58">
        <w:rPr>
          <w:lang w:val="bs-Latn-BA"/>
        </w:rPr>
        <w:t>čko Distrikta BiH</w:t>
      </w:r>
      <w:r w:rsidR="00D55C80" w:rsidRPr="004F7E58">
        <w:rPr>
          <w:lang w:val="hr-HR"/>
        </w:rPr>
        <w:t xml:space="preserve"> učestvovali u </w:t>
      </w:r>
      <w:proofErr w:type="spellStart"/>
      <w:r w:rsidRPr="004F7E58">
        <w:rPr>
          <w:lang w:val="hr-HR"/>
        </w:rPr>
        <w:t>u</w:t>
      </w:r>
      <w:proofErr w:type="spellEnd"/>
      <w:r w:rsidRPr="004F7E58">
        <w:rPr>
          <w:lang w:val="hr-HR"/>
        </w:rPr>
        <w:t xml:space="preserve"> praćenju</w:t>
      </w:r>
      <w:r w:rsidR="00D55C80" w:rsidRPr="004F7E58">
        <w:rPr>
          <w:lang w:val="hr-HR"/>
        </w:rPr>
        <w:t xml:space="preserve"> Sveobuhvatne strategije</w:t>
      </w:r>
      <w:r w:rsidR="00285243" w:rsidRPr="004F7E58">
        <w:rPr>
          <w:lang w:val="hr-HR"/>
        </w:rPr>
        <w:t xml:space="preserve"> upravljanja javnim </w:t>
      </w:r>
      <w:proofErr w:type="spellStart"/>
      <w:r w:rsidR="00285243" w:rsidRPr="004F7E58">
        <w:rPr>
          <w:lang w:val="hr-HR"/>
        </w:rPr>
        <w:t>finansijama</w:t>
      </w:r>
      <w:proofErr w:type="spellEnd"/>
      <w:r w:rsidR="00285243" w:rsidRPr="004F7E58">
        <w:rPr>
          <w:lang w:val="hr-HR"/>
        </w:rPr>
        <w:t xml:space="preserve"> u BiH</w:t>
      </w:r>
      <w:r w:rsidR="00D55C80" w:rsidRPr="004F7E58">
        <w:rPr>
          <w:lang w:val="hr-HR"/>
        </w:rPr>
        <w:t xml:space="preserve">. Aktivnost je </w:t>
      </w:r>
      <w:proofErr w:type="spellStart"/>
      <w:r w:rsidR="00D55C80" w:rsidRPr="004F7E58">
        <w:rPr>
          <w:lang w:val="hr-HR"/>
        </w:rPr>
        <w:t>realizovana</w:t>
      </w:r>
      <w:proofErr w:type="spellEnd"/>
      <w:r w:rsidR="00D55C80" w:rsidRPr="004F7E58">
        <w:rPr>
          <w:lang w:val="hr-HR"/>
        </w:rPr>
        <w:t xml:space="preserve"> u skladu sa Akcionim planom za reformu javne uprave (</w:t>
      </w:r>
      <w:proofErr w:type="spellStart"/>
      <w:r w:rsidR="00D55C80" w:rsidRPr="004F7E58">
        <w:rPr>
          <w:lang w:val="hr-HR"/>
        </w:rPr>
        <w:t>RJU</w:t>
      </w:r>
      <w:proofErr w:type="spellEnd"/>
      <w:r w:rsidR="00D55C80" w:rsidRPr="004F7E58">
        <w:rPr>
          <w:lang w:val="hr-HR"/>
        </w:rPr>
        <w:t xml:space="preserve">) 2020. godine, uz tehničku podršku Odjeljenja za fiskalne poslove Međunarodnog monetarnog fonda (MMF). Aktivnosti </w:t>
      </w:r>
      <w:r w:rsidR="009171C6" w:rsidRPr="004F7E58">
        <w:rPr>
          <w:lang w:val="hr-HR"/>
        </w:rPr>
        <w:t xml:space="preserve">će se </w:t>
      </w:r>
      <w:r w:rsidR="00D55C80" w:rsidRPr="004F7E58">
        <w:rPr>
          <w:lang w:val="hr-HR"/>
        </w:rPr>
        <w:t>nastav</w:t>
      </w:r>
      <w:r w:rsidR="009171C6" w:rsidRPr="004F7E58">
        <w:rPr>
          <w:lang w:val="hr-HR"/>
        </w:rPr>
        <w:t>iti</w:t>
      </w:r>
      <w:r w:rsidR="00D55C80" w:rsidRPr="004F7E58">
        <w:rPr>
          <w:lang w:val="hr-HR"/>
        </w:rPr>
        <w:t xml:space="preserve"> i u </w:t>
      </w:r>
      <w:r w:rsidR="00DC48D9" w:rsidRPr="004F7E58">
        <w:rPr>
          <w:lang w:val="hr-HR"/>
        </w:rPr>
        <w:t>2025</w:t>
      </w:r>
      <w:r w:rsidR="00D55C80" w:rsidRPr="004F7E58">
        <w:rPr>
          <w:lang w:val="hr-HR"/>
        </w:rPr>
        <w:t xml:space="preserve">. </w:t>
      </w:r>
      <w:r w:rsidR="002C7463" w:rsidRPr="004F7E58">
        <w:rPr>
          <w:lang w:val="hr-HR"/>
        </w:rPr>
        <w:t>g</w:t>
      </w:r>
      <w:r w:rsidR="00D55C80" w:rsidRPr="004F7E58">
        <w:rPr>
          <w:lang w:val="hr-HR"/>
        </w:rPr>
        <w:t>odini</w:t>
      </w:r>
      <w:r w:rsidR="00B67C08" w:rsidRPr="004F7E58">
        <w:rPr>
          <w:lang w:val="hr-HR"/>
        </w:rPr>
        <w:t xml:space="preserve"> i očekuje se da počn</w:t>
      </w:r>
      <w:r w:rsidR="002C7463" w:rsidRPr="004F7E58">
        <w:rPr>
          <w:lang w:val="hr-HR"/>
        </w:rPr>
        <w:t>e rad na</w:t>
      </w:r>
      <w:r w:rsidR="00B67C08" w:rsidRPr="004F7E58">
        <w:rPr>
          <w:lang w:val="hr-HR"/>
        </w:rPr>
        <w:t xml:space="preserve"> izrad</w:t>
      </w:r>
      <w:r w:rsidR="002C7463" w:rsidRPr="004F7E58">
        <w:rPr>
          <w:lang w:val="hr-HR"/>
        </w:rPr>
        <w:t>i</w:t>
      </w:r>
      <w:r w:rsidR="00B67C08" w:rsidRPr="004F7E58">
        <w:rPr>
          <w:lang w:val="hr-HR"/>
        </w:rPr>
        <w:t xml:space="preserve"> nove Strategije</w:t>
      </w:r>
      <w:r w:rsidR="00DC48D9" w:rsidRPr="004F7E58">
        <w:rPr>
          <w:lang w:val="hr-HR"/>
        </w:rPr>
        <w:t xml:space="preserve"> upravljanja javnim </w:t>
      </w:r>
      <w:proofErr w:type="spellStart"/>
      <w:r w:rsidR="00DC48D9" w:rsidRPr="004F7E58">
        <w:rPr>
          <w:lang w:val="hr-HR"/>
        </w:rPr>
        <w:t>finansijama</w:t>
      </w:r>
      <w:proofErr w:type="spellEnd"/>
      <w:r w:rsidR="00B67C08" w:rsidRPr="004F7E58">
        <w:rPr>
          <w:lang w:val="hr-HR"/>
        </w:rPr>
        <w:t xml:space="preserve">. </w:t>
      </w:r>
    </w:p>
    <w:p w14:paraId="1C99D1F5" w14:textId="77777777" w:rsidR="008821A9" w:rsidRPr="004F7E58" w:rsidRDefault="008821A9" w:rsidP="00D55C80">
      <w:pPr>
        <w:jc w:val="both"/>
        <w:rPr>
          <w:lang w:val="hr-HR"/>
        </w:rPr>
      </w:pPr>
    </w:p>
    <w:p w14:paraId="7BCF9287" w14:textId="047E6967" w:rsidR="00C97686" w:rsidRPr="004F7E58" w:rsidRDefault="00C97686" w:rsidP="008042FA">
      <w:pPr>
        <w:pStyle w:val="Heading1"/>
        <w:numPr>
          <w:ilvl w:val="0"/>
          <w:numId w:val="12"/>
        </w:numPr>
        <w:spacing w:after="240"/>
        <w:ind w:left="0" w:firstLine="0"/>
        <w:rPr>
          <w:b/>
          <w:color w:val="C00000"/>
          <w:lang w:val="hr-HR"/>
        </w:rPr>
      </w:pPr>
      <w:bookmarkStart w:id="4" w:name="_Toc214450217"/>
      <w:r w:rsidRPr="004F7E58">
        <w:rPr>
          <w:b/>
          <w:color w:val="C00000"/>
          <w:lang w:val="hr-HR"/>
        </w:rPr>
        <w:lastRenderedPageBreak/>
        <w:t>Zbirni napredak u implementaciji planiranih ak</w:t>
      </w:r>
      <w:r w:rsidR="00276577" w:rsidRPr="004F7E58">
        <w:rPr>
          <w:b/>
          <w:color w:val="C00000"/>
          <w:lang w:val="hr-HR"/>
        </w:rPr>
        <w:t xml:space="preserve">tivnosti </w:t>
      </w:r>
      <w:proofErr w:type="spellStart"/>
      <w:r w:rsidR="00276577" w:rsidRPr="004F7E58">
        <w:rPr>
          <w:b/>
          <w:color w:val="C00000"/>
          <w:lang w:val="hr-HR"/>
        </w:rPr>
        <w:t>definisanih</w:t>
      </w:r>
      <w:proofErr w:type="spellEnd"/>
      <w:r w:rsidR="00276577" w:rsidRPr="004F7E58">
        <w:rPr>
          <w:b/>
          <w:color w:val="C00000"/>
          <w:lang w:val="hr-HR"/>
        </w:rPr>
        <w:t xml:space="preserve"> akcionim planom za</w:t>
      </w:r>
      <w:r w:rsidRPr="004F7E58">
        <w:rPr>
          <w:b/>
          <w:color w:val="C00000"/>
          <w:lang w:val="hr-HR"/>
        </w:rPr>
        <w:t xml:space="preserve"> </w:t>
      </w:r>
      <w:r w:rsidR="00122C10" w:rsidRPr="004F7E58">
        <w:rPr>
          <w:b/>
          <w:color w:val="C00000"/>
          <w:lang w:val="hr-HR"/>
        </w:rPr>
        <w:t>202</w:t>
      </w:r>
      <w:r w:rsidR="003933B2" w:rsidRPr="004F7E58">
        <w:rPr>
          <w:b/>
          <w:color w:val="C00000"/>
          <w:lang w:val="hr-HR"/>
        </w:rPr>
        <w:t>4</w:t>
      </w:r>
      <w:r w:rsidRPr="004F7E58">
        <w:rPr>
          <w:b/>
          <w:color w:val="C00000"/>
          <w:lang w:val="hr-HR"/>
        </w:rPr>
        <w:t>.</w:t>
      </w:r>
      <w:r w:rsidR="00276577" w:rsidRPr="004F7E58">
        <w:rPr>
          <w:b/>
          <w:color w:val="C00000"/>
          <w:lang w:val="hr-HR"/>
        </w:rPr>
        <w:t xml:space="preserve"> </w:t>
      </w:r>
      <w:r w:rsidRPr="004F7E58">
        <w:rPr>
          <w:b/>
          <w:color w:val="C00000"/>
          <w:lang w:val="hr-HR"/>
        </w:rPr>
        <w:t>godin</w:t>
      </w:r>
      <w:r w:rsidR="00276577" w:rsidRPr="004F7E58">
        <w:rPr>
          <w:b/>
          <w:color w:val="C00000"/>
          <w:lang w:val="hr-HR"/>
        </w:rPr>
        <w:t>u</w:t>
      </w:r>
      <w:bookmarkEnd w:id="4"/>
    </w:p>
    <w:p w14:paraId="6D5C221C" w14:textId="542DEEA6" w:rsidR="00C97686" w:rsidRPr="004F7E58" w:rsidRDefault="008C4B5A" w:rsidP="00D45720">
      <w:pPr>
        <w:spacing w:line="240" w:lineRule="auto"/>
        <w:jc w:val="both"/>
        <w:rPr>
          <w:strike/>
          <w:lang w:val="bs-Latn-BA"/>
        </w:rPr>
      </w:pPr>
      <w:r w:rsidRPr="004F7E58">
        <w:rPr>
          <w:lang w:val="hr-HR"/>
        </w:rPr>
        <w:t>Z</w:t>
      </w:r>
      <w:r w:rsidR="0088793B" w:rsidRPr="004F7E58">
        <w:rPr>
          <w:lang w:val="hr-HR"/>
        </w:rPr>
        <w:t>birni pregled ostvarenja rezultata i pripadaju</w:t>
      </w:r>
      <w:r w:rsidR="0088793B" w:rsidRPr="004F7E58">
        <w:rPr>
          <w:lang w:val="bs-Latn-BA"/>
        </w:rPr>
        <w:t>ćih ciljnih vrijednosti indikatora za svih šest stubova Strategije</w:t>
      </w:r>
      <w:r w:rsidR="00D45720" w:rsidRPr="004F7E58">
        <w:rPr>
          <w:lang w:val="bs-Latn-BA"/>
        </w:rPr>
        <w:t xml:space="preserve"> prikazuje napredak u ostvarenju ciljeva strategije do kraja </w:t>
      </w:r>
      <w:r w:rsidR="00884A3A" w:rsidRPr="004F7E58">
        <w:rPr>
          <w:lang w:val="bs-Latn-BA"/>
        </w:rPr>
        <w:t>2024</w:t>
      </w:r>
      <w:r w:rsidR="00D45720" w:rsidRPr="004F7E58">
        <w:rPr>
          <w:lang w:val="bs-Latn-BA"/>
        </w:rPr>
        <w:t xml:space="preserve">. godine. </w:t>
      </w:r>
      <w:r w:rsidRPr="004F7E58">
        <w:rPr>
          <w:lang w:val="bs-Latn-BA"/>
        </w:rPr>
        <w:t xml:space="preserve"> </w:t>
      </w:r>
      <w:r w:rsidR="00303396" w:rsidRPr="004F7E58">
        <w:rPr>
          <w:lang w:val="bs-Latn-BA"/>
        </w:rPr>
        <w:t xml:space="preserve">Sedam </w:t>
      </w:r>
      <w:r w:rsidR="00AC0171" w:rsidRPr="004F7E58">
        <w:rPr>
          <w:lang w:val="bs-Latn-BA"/>
        </w:rPr>
        <w:t>rezultat</w:t>
      </w:r>
      <w:r w:rsidR="00D45720" w:rsidRPr="004F7E58">
        <w:rPr>
          <w:lang w:val="bs-Latn-BA"/>
        </w:rPr>
        <w:t>a</w:t>
      </w:r>
      <w:r w:rsidR="00AC0171" w:rsidRPr="004F7E58">
        <w:rPr>
          <w:lang w:val="bs-Latn-BA"/>
        </w:rPr>
        <w:t xml:space="preserve"> stuba </w:t>
      </w:r>
      <w:r w:rsidR="00D45720" w:rsidRPr="004F7E58">
        <w:rPr>
          <w:lang w:val="bs-Latn-BA"/>
        </w:rPr>
        <w:t>su</w:t>
      </w:r>
      <w:r w:rsidR="00AC0171" w:rsidRPr="004F7E58">
        <w:rPr>
          <w:lang w:val="bs-Latn-BA"/>
        </w:rPr>
        <w:t xml:space="preserve"> potpuno ostvaren</w:t>
      </w:r>
      <w:r w:rsidR="00237ECB">
        <w:rPr>
          <w:lang w:val="bs-Latn-BA"/>
        </w:rPr>
        <w:t>i</w:t>
      </w:r>
      <w:r w:rsidR="00AC0171" w:rsidRPr="004F7E58">
        <w:rPr>
          <w:lang w:val="bs-Latn-BA"/>
        </w:rPr>
        <w:t xml:space="preserve"> u 2021.</w:t>
      </w:r>
      <w:r w:rsidR="00303396" w:rsidRPr="004F7E58">
        <w:rPr>
          <w:lang w:val="bs-Latn-BA"/>
        </w:rPr>
        <w:t xml:space="preserve">, </w:t>
      </w:r>
      <w:r w:rsidR="00D45720" w:rsidRPr="004F7E58">
        <w:rPr>
          <w:lang w:val="bs-Latn-BA"/>
        </w:rPr>
        <w:t>2022.</w:t>
      </w:r>
      <w:r w:rsidR="00AC0171" w:rsidRPr="004F7E58">
        <w:rPr>
          <w:lang w:val="bs-Latn-BA"/>
        </w:rPr>
        <w:t xml:space="preserve"> </w:t>
      </w:r>
      <w:r w:rsidR="00303396" w:rsidRPr="004F7E58">
        <w:rPr>
          <w:lang w:val="bs-Latn-BA"/>
        </w:rPr>
        <w:t xml:space="preserve">i 2023. </w:t>
      </w:r>
      <w:r w:rsidR="00AC0171" w:rsidRPr="004F7E58">
        <w:rPr>
          <w:lang w:val="bs-Latn-BA"/>
        </w:rPr>
        <w:t>godini.</w:t>
      </w:r>
      <w:r w:rsidR="00D45720" w:rsidRPr="004F7E58">
        <w:rPr>
          <w:lang w:val="bs-Latn-BA"/>
        </w:rPr>
        <w:t xml:space="preserve"> </w:t>
      </w:r>
      <w:r w:rsidR="00303396" w:rsidRPr="004F7E58">
        <w:rPr>
          <w:lang w:val="bs-Latn-BA"/>
        </w:rPr>
        <w:t xml:space="preserve">Četiri ciljne vrijednosti </w:t>
      </w:r>
      <w:r w:rsidR="004C4174">
        <w:rPr>
          <w:lang w:val="bs-Latn-BA"/>
        </w:rPr>
        <w:t xml:space="preserve">indikatora </w:t>
      </w:r>
      <w:r w:rsidR="00303396" w:rsidRPr="004F7E58">
        <w:rPr>
          <w:lang w:val="bs-Latn-BA"/>
        </w:rPr>
        <w:t>rezultata stuba su postignute u izvještajnom periodu</w:t>
      </w:r>
      <w:r w:rsidR="004C4174">
        <w:rPr>
          <w:lang w:val="bs-Latn-BA"/>
        </w:rPr>
        <w:t xml:space="preserve"> i jedan djelomično</w:t>
      </w:r>
      <w:r w:rsidR="00303396" w:rsidRPr="004F7E58">
        <w:rPr>
          <w:lang w:val="bs-Latn-BA"/>
        </w:rPr>
        <w:t>. Za tri indikatora</w:t>
      </w:r>
      <w:r w:rsidR="004C4174">
        <w:rPr>
          <w:lang w:val="bs-Latn-BA"/>
        </w:rPr>
        <w:t>,</w:t>
      </w:r>
      <w:r w:rsidR="00303396" w:rsidRPr="004F7E58">
        <w:rPr>
          <w:lang w:val="bs-Latn-BA"/>
        </w:rPr>
        <w:t xml:space="preserve"> rokovi za realizaciju postavljenih indikatora i rezultata nisu istekli. </w:t>
      </w:r>
      <w:r w:rsidR="00DB5E8D" w:rsidRPr="004F7E58">
        <w:rPr>
          <w:lang w:val="bs-Latn-BA"/>
        </w:rPr>
        <w:t xml:space="preserve">Kumulativno, nije bilo neostvarenih ciljnih vrijednosti rezultata stuba tokom izvještajnog perioda.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535"/>
      </w:tblGrid>
      <w:tr w:rsidR="00B963AD" w:rsidRPr="004F7E58" w14:paraId="0B82FE3B" w14:textId="77777777" w:rsidTr="004F7E58">
        <w:trPr>
          <w:trHeight w:val="538"/>
        </w:trPr>
        <w:tc>
          <w:tcPr>
            <w:tcW w:w="5575" w:type="dxa"/>
            <w:vMerge w:val="restart"/>
            <w:shd w:val="clear" w:color="auto" w:fill="auto"/>
            <w:vAlign w:val="center"/>
          </w:tcPr>
          <w:p w14:paraId="2ED9ED8C" w14:textId="088FFA3A" w:rsidR="00144763" w:rsidRPr="004F7E58" w:rsidRDefault="00303396" w:rsidP="00A20364">
            <w:pPr>
              <w:ind w:left="720"/>
              <w:jc w:val="both"/>
              <w:rPr>
                <w:noProof/>
                <w:lang w:val="bs-Latn-BA"/>
              </w:rPr>
            </w:pPr>
            <w:r w:rsidRPr="004F7E58">
              <w:rPr>
                <w:noProof/>
              </w:rPr>
              <w:drawing>
                <wp:inline distT="0" distB="0" distL="0" distR="0" wp14:anchorId="222B4D15" wp14:editId="773D1A43">
                  <wp:extent cx="2467239" cy="3032466"/>
                  <wp:effectExtent l="0" t="0" r="9525" b="15875"/>
                  <wp:docPr id="23" name="Chart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2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 w:rsidRPr="004F7E58" w:rsidDel="006922D2">
              <w:rPr>
                <w:noProof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14:paraId="797AEBD2" w14:textId="77777777" w:rsidR="00B963AD" w:rsidRPr="004F7E58" w:rsidRDefault="00B963AD" w:rsidP="00D45720">
            <w:pPr>
              <w:jc w:val="both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Ostvarenje indikatora rezultata stuba</w:t>
            </w:r>
          </w:p>
        </w:tc>
        <w:tc>
          <w:tcPr>
            <w:tcW w:w="535" w:type="dxa"/>
            <w:vAlign w:val="center"/>
          </w:tcPr>
          <w:p w14:paraId="7BB5E0EE" w14:textId="77777777" w:rsidR="00B963AD" w:rsidRPr="004F7E58" w:rsidRDefault="00B963AD" w:rsidP="00D45720">
            <w:pPr>
              <w:jc w:val="both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#</w:t>
            </w:r>
          </w:p>
        </w:tc>
      </w:tr>
      <w:tr w:rsidR="00B963AD" w:rsidRPr="004F7E58" w14:paraId="10DB1271" w14:textId="77777777" w:rsidTr="004F7E58">
        <w:trPr>
          <w:trHeight w:val="538"/>
        </w:trPr>
        <w:tc>
          <w:tcPr>
            <w:tcW w:w="5575" w:type="dxa"/>
            <w:vMerge/>
            <w:shd w:val="clear" w:color="auto" w:fill="auto"/>
            <w:vAlign w:val="center"/>
          </w:tcPr>
          <w:p w14:paraId="3B5FC2F9" w14:textId="77777777" w:rsidR="00B963AD" w:rsidRPr="004F7E58" w:rsidRDefault="00B963AD" w:rsidP="00D45720">
            <w:pPr>
              <w:jc w:val="both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63C7A45E" w14:textId="77777777" w:rsidR="00B963AD" w:rsidRPr="004F7E58" w:rsidRDefault="00B963AD" w:rsidP="00D45720">
            <w:pPr>
              <w:jc w:val="both"/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0000"/>
            <w:vAlign w:val="center"/>
          </w:tcPr>
          <w:p w14:paraId="7CF9A926" w14:textId="5D73A3ED" w:rsidR="00303396" w:rsidRPr="004F7E58" w:rsidRDefault="00303396" w:rsidP="00D45720">
            <w:pPr>
              <w:jc w:val="both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0</w:t>
            </w:r>
          </w:p>
        </w:tc>
      </w:tr>
      <w:tr w:rsidR="00B963AD" w:rsidRPr="004F7E58" w14:paraId="0CF9343B" w14:textId="77777777" w:rsidTr="004F7E58">
        <w:trPr>
          <w:trHeight w:val="538"/>
        </w:trPr>
        <w:tc>
          <w:tcPr>
            <w:tcW w:w="5575" w:type="dxa"/>
            <w:vMerge/>
            <w:shd w:val="clear" w:color="auto" w:fill="auto"/>
          </w:tcPr>
          <w:p w14:paraId="3F5F2170" w14:textId="77777777" w:rsidR="00B963AD" w:rsidRPr="004F7E58" w:rsidRDefault="00B963AD" w:rsidP="00D45720">
            <w:pPr>
              <w:jc w:val="both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3F929BDB" w14:textId="77777777" w:rsidR="00B963AD" w:rsidRPr="004F7E58" w:rsidRDefault="00B963AD" w:rsidP="00D45720">
            <w:pPr>
              <w:jc w:val="both"/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djelomično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E599" w:themeFill="accent4" w:themeFillTint="66"/>
            <w:vAlign w:val="center"/>
          </w:tcPr>
          <w:p w14:paraId="7671F60C" w14:textId="4602AEA7" w:rsidR="00B963AD" w:rsidRPr="004F7E58" w:rsidRDefault="00303396" w:rsidP="00D45720">
            <w:pPr>
              <w:jc w:val="both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1</w:t>
            </w:r>
          </w:p>
        </w:tc>
      </w:tr>
      <w:tr w:rsidR="00B963AD" w:rsidRPr="004F7E58" w14:paraId="68EC84DC" w14:textId="77777777" w:rsidTr="004F7E58">
        <w:trPr>
          <w:trHeight w:val="538"/>
        </w:trPr>
        <w:tc>
          <w:tcPr>
            <w:tcW w:w="5575" w:type="dxa"/>
            <w:vMerge/>
            <w:shd w:val="clear" w:color="auto" w:fill="auto"/>
          </w:tcPr>
          <w:p w14:paraId="4F55774D" w14:textId="77777777" w:rsidR="00B963AD" w:rsidRPr="004F7E58" w:rsidRDefault="00B963AD" w:rsidP="00D45720">
            <w:pPr>
              <w:jc w:val="both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1CCEA3D6" w14:textId="77777777" w:rsidR="00B963AD" w:rsidRPr="004F7E58" w:rsidRDefault="00B963AD" w:rsidP="00D45720">
            <w:pPr>
              <w:jc w:val="both"/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C5E0B3" w:themeFill="accent6" w:themeFillTint="66"/>
            <w:vAlign w:val="center"/>
          </w:tcPr>
          <w:p w14:paraId="3E6FFA92" w14:textId="755A0642" w:rsidR="00B963AD" w:rsidRPr="004F7E58" w:rsidRDefault="00303396" w:rsidP="00D45720">
            <w:pPr>
              <w:jc w:val="both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11</w:t>
            </w:r>
          </w:p>
        </w:tc>
      </w:tr>
      <w:tr w:rsidR="00B963AD" w:rsidRPr="004F7E58" w14:paraId="5587D4E8" w14:textId="77777777" w:rsidTr="004F7E58">
        <w:trPr>
          <w:trHeight w:val="538"/>
        </w:trPr>
        <w:tc>
          <w:tcPr>
            <w:tcW w:w="5575" w:type="dxa"/>
            <w:vMerge/>
            <w:shd w:val="clear" w:color="auto" w:fill="auto"/>
          </w:tcPr>
          <w:p w14:paraId="54B1D33F" w14:textId="77777777" w:rsidR="00B963AD" w:rsidRPr="004F7E58" w:rsidRDefault="00B963AD" w:rsidP="00D45720">
            <w:pPr>
              <w:jc w:val="both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4502043C" w14:textId="77777777" w:rsidR="00B963AD" w:rsidRPr="004F7E58" w:rsidRDefault="00B963AD" w:rsidP="00D45720">
            <w:pPr>
              <w:jc w:val="both"/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istekao</w:t>
            </w:r>
            <w:proofErr w:type="spellEnd"/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9693E4C" w14:textId="49578EE5" w:rsidR="00B963AD" w:rsidRPr="004F7E58" w:rsidRDefault="00D45720" w:rsidP="00D45720">
            <w:pPr>
              <w:jc w:val="both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3</w:t>
            </w:r>
          </w:p>
        </w:tc>
      </w:tr>
      <w:tr w:rsidR="00B963AD" w:rsidRPr="004F7E58" w14:paraId="0C122990" w14:textId="77777777" w:rsidTr="004F7E58">
        <w:trPr>
          <w:trHeight w:val="638"/>
        </w:trPr>
        <w:tc>
          <w:tcPr>
            <w:tcW w:w="5575" w:type="dxa"/>
            <w:vMerge/>
            <w:shd w:val="clear" w:color="auto" w:fill="auto"/>
          </w:tcPr>
          <w:p w14:paraId="56FFA651" w14:textId="77777777" w:rsidR="00B963AD" w:rsidRPr="004F7E58" w:rsidRDefault="00B963AD" w:rsidP="00D45720">
            <w:pPr>
              <w:jc w:val="both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289C49B1" w14:textId="77777777" w:rsidR="00B963AD" w:rsidRPr="004F7E58" w:rsidRDefault="00B963AD" w:rsidP="00D45720">
            <w:pPr>
              <w:jc w:val="both"/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definirana</w:t>
            </w:r>
            <w:proofErr w:type="spellEnd"/>
          </w:p>
        </w:tc>
        <w:tc>
          <w:tcPr>
            <w:tcW w:w="535" w:type="dxa"/>
            <w:shd w:val="clear" w:color="auto" w:fill="FFCCFF"/>
            <w:vAlign w:val="center"/>
          </w:tcPr>
          <w:p w14:paraId="0EC3E418" w14:textId="30A8A841" w:rsidR="00B963AD" w:rsidRPr="004F7E58" w:rsidRDefault="00B963AD" w:rsidP="00D45720">
            <w:pPr>
              <w:jc w:val="both"/>
              <w:rPr>
                <w:noProof/>
                <w:sz w:val="18"/>
              </w:rPr>
            </w:pPr>
          </w:p>
        </w:tc>
      </w:tr>
    </w:tbl>
    <w:p w14:paraId="081F2BA4" w14:textId="77777777" w:rsidR="00B963AD" w:rsidRPr="004F7E58" w:rsidRDefault="00B963AD" w:rsidP="00D45720">
      <w:pPr>
        <w:jc w:val="both"/>
      </w:pPr>
    </w:p>
    <w:p w14:paraId="3245FEAD" w14:textId="09E085AB" w:rsidR="0094154E" w:rsidRPr="004F7E58" w:rsidRDefault="00A63AD1" w:rsidP="00D45720">
      <w:pPr>
        <w:spacing w:line="240" w:lineRule="auto"/>
        <w:jc w:val="both"/>
      </w:pPr>
      <w:proofErr w:type="spellStart"/>
      <w:r w:rsidRPr="004F7E58">
        <w:t>Kada</w:t>
      </w:r>
      <w:proofErr w:type="spellEnd"/>
      <w:r w:rsidRPr="004F7E58">
        <w:t xml:space="preserve"> </w:t>
      </w:r>
      <w:r w:rsidR="00B72097" w:rsidRPr="004F7E58">
        <w:t xml:space="preserve">se </w:t>
      </w:r>
      <w:proofErr w:type="spellStart"/>
      <w:r w:rsidR="00B72097" w:rsidRPr="004F7E58">
        <w:t>posmatra</w:t>
      </w:r>
      <w:proofErr w:type="spellEnd"/>
      <w:r w:rsidRPr="004F7E58">
        <w:t xml:space="preserve"> </w:t>
      </w:r>
      <w:proofErr w:type="spellStart"/>
      <w:r w:rsidRPr="004F7E58">
        <w:t>provođenje</w:t>
      </w:r>
      <w:proofErr w:type="spellEnd"/>
      <w:r w:rsidRPr="004F7E58">
        <w:t xml:space="preserve"> </w:t>
      </w:r>
      <w:proofErr w:type="spellStart"/>
      <w:r w:rsidRPr="004F7E58">
        <w:t>Strategije</w:t>
      </w:r>
      <w:proofErr w:type="spellEnd"/>
      <w:r w:rsidRPr="004F7E58">
        <w:t xml:space="preserve"> </w:t>
      </w:r>
      <w:proofErr w:type="spellStart"/>
      <w:r w:rsidRPr="004F7E58">
        <w:t>na</w:t>
      </w:r>
      <w:proofErr w:type="spellEnd"/>
      <w:r w:rsidRPr="004F7E58">
        <w:t xml:space="preserve"> </w:t>
      </w:r>
      <w:proofErr w:type="spellStart"/>
      <w:r w:rsidRPr="004F7E58">
        <w:t>nivou</w:t>
      </w:r>
      <w:proofErr w:type="spellEnd"/>
      <w:r w:rsidRPr="004F7E58">
        <w:t xml:space="preserve"> </w:t>
      </w:r>
      <w:proofErr w:type="spellStart"/>
      <w:r w:rsidRPr="004F7E58">
        <w:t>aktivnosti</w:t>
      </w:r>
      <w:proofErr w:type="spellEnd"/>
      <w:r w:rsidRPr="004F7E58">
        <w:t xml:space="preserve"> </w:t>
      </w:r>
      <w:proofErr w:type="spellStart"/>
      <w:r w:rsidR="00C92F28" w:rsidRPr="004F7E58">
        <w:t>i</w:t>
      </w:r>
      <w:proofErr w:type="spellEnd"/>
      <w:r w:rsidR="00C92F28" w:rsidRPr="004F7E58">
        <w:t xml:space="preserve"> </w:t>
      </w:r>
      <w:proofErr w:type="spellStart"/>
      <w:r w:rsidRPr="004F7E58">
        <w:t>pripadajućih</w:t>
      </w:r>
      <w:proofErr w:type="spellEnd"/>
      <w:r w:rsidRPr="004F7E58">
        <w:t xml:space="preserve"> </w:t>
      </w:r>
      <w:proofErr w:type="spellStart"/>
      <w:r w:rsidRPr="004F7E58">
        <w:t>rezultata</w:t>
      </w:r>
      <w:proofErr w:type="spellEnd"/>
      <w:r w:rsidRPr="004F7E58">
        <w:t xml:space="preserve"> </w:t>
      </w:r>
      <w:proofErr w:type="spellStart"/>
      <w:r w:rsidRPr="004F7E58">
        <w:t>mjere</w:t>
      </w:r>
      <w:proofErr w:type="spellEnd"/>
      <w:r w:rsidR="0094154E" w:rsidRPr="004F7E58">
        <w:t xml:space="preserve"> </w:t>
      </w:r>
      <w:proofErr w:type="spellStart"/>
      <w:r w:rsidR="0094154E" w:rsidRPr="004F7E58">
        <w:t>tokom</w:t>
      </w:r>
      <w:proofErr w:type="spellEnd"/>
      <w:r w:rsidR="0094154E" w:rsidRPr="004F7E58">
        <w:t xml:space="preserve"> 202</w:t>
      </w:r>
      <w:r w:rsidR="00DB5E8D" w:rsidRPr="004F7E58">
        <w:t xml:space="preserve">4. </w:t>
      </w:r>
      <w:proofErr w:type="spellStart"/>
      <w:r w:rsidR="00DB5E8D" w:rsidRPr="004F7E58">
        <w:t>godine</w:t>
      </w:r>
      <w:proofErr w:type="spellEnd"/>
      <w:r w:rsidR="00DB5E8D" w:rsidRPr="004F7E58">
        <w:t>,</w:t>
      </w:r>
      <w:r w:rsidR="0094154E" w:rsidRPr="004F7E58">
        <w:t xml:space="preserve"> </w:t>
      </w:r>
      <w:proofErr w:type="spellStart"/>
      <w:r w:rsidR="00135E2D" w:rsidRPr="004F7E58">
        <w:t>evidentan</w:t>
      </w:r>
      <w:proofErr w:type="spellEnd"/>
      <w:r w:rsidR="00135E2D" w:rsidRPr="004F7E58">
        <w:t xml:space="preserve"> je </w:t>
      </w:r>
      <w:proofErr w:type="spellStart"/>
      <w:r w:rsidR="00135E2D" w:rsidRPr="004F7E58">
        <w:t>daljni</w:t>
      </w:r>
      <w:proofErr w:type="spellEnd"/>
      <w:r w:rsidR="00135E2D" w:rsidRPr="004F7E58">
        <w:t xml:space="preserve"> </w:t>
      </w:r>
      <w:proofErr w:type="spellStart"/>
      <w:r w:rsidR="00135E2D" w:rsidRPr="004F7E58">
        <w:t>napredak</w:t>
      </w:r>
      <w:proofErr w:type="spellEnd"/>
      <w:r w:rsidR="00135E2D" w:rsidRPr="004F7E58">
        <w:t xml:space="preserve"> u </w:t>
      </w:r>
      <w:proofErr w:type="spellStart"/>
      <w:r w:rsidR="00135E2D" w:rsidRPr="004F7E58">
        <w:t>odnosu</w:t>
      </w:r>
      <w:proofErr w:type="spellEnd"/>
      <w:r w:rsidR="00135E2D" w:rsidRPr="004F7E58">
        <w:t xml:space="preserve"> </w:t>
      </w:r>
      <w:proofErr w:type="spellStart"/>
      <w:r w:rsidR="00135E2D" w:rsidRPr="004F7E58">
        <w:t>na</w:t>
      </w:r>
      <w:proofErr w:type="spellEnd"/>
      <w:r w:rsidR="00135E2D" w:rsidRPr="004F7E58">
        <w:t xml:space="preserve"> tri </w:t>
      </w:r>
      <w:proofErr w:type="spellStart"/>
      <w:r w:rsidR="00135E2D" w:rsidRPr="004F7E58">
        <w:t>godine</w:t>
      </w:r>
      <w:proofErr w:type="spellEnd"/>
      <w:r w:rsidR="00135E2D" w:rsidRPr="004F7E58">
        <w:t xml:space="preserve"> </w:t>
      </w:r>
      <w:proofErr w:type="spellStart"/>
      <w:r w:rsidR="00135E2D" w:rsidRPr="004F7E58">
        <w:t>implementacije</w:t>
      </w:r>
      <w:proofErr w:type="spellEnd"/>
      <w:r w:rsidR="00135E2D" w:rsidRPr="004F7E58">
        <w:t xml:space="preserve"> do </w:t>
      </w:r>
      <w:proofErr w:type="spellStart"/>
      <w:r w:rsidR="00135E2D" w:rsidRPr="004F7E58">
        <w:t>sada</w:t>
      </w:r>
      <w:proofErr w:type="spellEnd"/>
      <w:r w:rsidR="00135E2D" w:rsidRPr="004F7E58">
        <w:t xml:space="preserve">. </w:t>
      </w:r>
      <w:r w:rsidR="009C7309" w:rsidRPr="004F7E58">
        <w:t xml:space="preserve">Pet </w:t>
      </w:r>
      <w:proofErr w:type="spellStart"/>
      <w:r w:rsidR="009C7309" w:rsidRPr="004F7E58">
        <w:t>aktivnosti</w:t>
      </w:r>
      <w:proofErr w:type="spellEnd"/>
      <w:r w:rsidR="009C7309" w:rsidRPr="004F7E58">
        <w:t xml:space="preserve"> je </w:t>
      </w:r>
      <w:proofErr w:type="spellStart"/>
      <w:r w:rsidR="009C7309" w:rsidRPr="004F7E58">
        <w:t>završeno</w:t>
      </w:r>
      <w:proofErr w:type="spellEnd"/>
      <w:r w:rsidR="009C7309" w:rsidRPr="004F7E58">
        <w:t xml:space="preserve"> (</w:t>
      </w:r>
      <w:proofErr w:type="spellStart"/>
      <w:r w:rsidR="009C7309" w:rsidRPr="004F7E58">
        <w:t>jedna</w:t>
      </w:r>
      <w:proofErr w:type="spellEnd"/>
      <w:r w:rsidR="009C7309" w:rsidRPr="004F7E58">
        <w:t xml:space="preserve"> </w:t>
      </w:r>
      <w:proofErr w:type="spellStart"/>
      <w:r w:rsidR="009C7309" w:rsidRPr="004F7E58">
        <w:t>prije</w:t>
      </w:r>
      <w:proofErr w:type="spellEnd"/>
      <w:r w:rsidR="009C7309" w:rsidRPr="004F7E58">
        <w:t xml:space="preserve"> plana), a u</w:t>
      </w:r>
      <w:r w:rsidR="00135E2D" w:rsidRPr="004F7E58">
        <w:t xml:space="preserve"> </w:t>
      </w:r>
      <w:proofErr w:type="spellStart"/>
      <w:r w:rsidR="00135E2D" w:rsidRPr="004F7E58">
        <w:t>toku</w:t>
      </w:r>
      <w:proofErr w:type="spellEnd"/>
      <w:r w:rsidR="00135E2D" w:rsidRPr="004F7E58">
        <w:t xml:space="preserve"> je 40 </w:t>
      </w:r>
      <w:proofErr w:type="spellStart"/>
      <w:r w:rsidR="00135E2D" w:rsidRPr="004F7E58">
        <w:t>aktivnosti</w:t>
      </w:r>
      <w:proofErr w:type="spellEnd"/>
      <w:r w:rsidR="004C4174">
        <w:t xml:space="preserve"> u </w:t>
      </w:r>
      <w:proofErr w:type="spellStart"/>
      <w:r w:rsidR="004C4174">
        <w:t>izvještajnom</w:t>
      </w:r>
      <w:proofErr w:type="spellEnd"/>
      <w:r w:rsidR="004C4174">
        <w:t xml:space="preserve"> </w:t>
      </w:r>
      <w:proofErr w:type="spellStart"/>
      <w:r w:rsidR="004C4174">
        <w:t>periodu</w:t>
      </w:r>
      <w:proofErr w:type="spellEnd"/>
      <w:r w:rsidR="009C7309" w:rsidRPr="004F7E58">
        <w:t xml:space="preserve">. </w:t>
      </w:r>
      <w:proofErr w:type="spellStart"/>
      <w:r w:rsidR="00135E2D" w:rsidRPr="004F7E58">
        <w:t>Dodatno</w:t>
      </w:r>
      <w:proofErr w:type="spellEnd"/>
      <w:r w:rsidR="00135E2D" w:rsidRPr="004F7E58">
        <w:t xml:space="preserve"> je </w:t>
      </w:r>
      <w:proofErr w:type="spellStart"/>
      <w:r w:rsidR="00135E2D" w:rsidRPr="004F7E58">
        <w:t>niži</w:t>
      </w:r>
      <w:proofErr w:type="spellEnd"/>
      <w:r w:rsidR="00135E2D" w:rsidRPr="004F7E58">
        <w:t xml:space="preserve"> </w:t>
      </w:r>
      <w:proofErr w:type="spellStart"/>
      <w:r w:rsidR="00135E2D" w:rsidRPr="004F7E58">
        <w:t>broj</w:t>
      </w:r>
      <w:proofErr w:type="spellEnd"/>
      <w:r w:rsidR="00135E2D" w:rsidRPr="004F7E58">
        <w:t xml:space="preserve"> </w:t>
      </w:r>
      <w:proofErr w:type="spellStart"/>
      <w:r w:rsidR="0094154E" w:rsidRPr="004F7E58">
        <w:t>aktivnosti</w:t>
      </w:r>
      <w:proofErr w:type="spellEnd"/>
      <w:r w:rsidR="0094154E" w:rsidRPr="004F7E58">
        <w:t xml:space="preserve"> </w:t>
      </w:r>
      <w:proofErr w:type="spellStart"/>
      <w:r w:rsidR="00135E2D" w:rsidRPr="004F7E58">
        <w:t>koje</w:t>
      </w:r>
      <w:proofErr w:type="spellEnd"/>
      <w:r w:rsidR="00135E2D" w:rsidRPr="004F7E58">
        <w:t xml:space="preserve"> </w:t>
      </w:r>
      <w:proofErr w:type="spellStart"/>
      <w:r w:rsidR="00135E2D" w:rsidRPr="004F7E58">
        <w:t>nisu</w:t>
      </w:r>
      <w:proofErr w:type="spellEnd"/>
      <w:r w:rsidR="00135E2D" w:rsidRPr="004F7E58">
        <w:t xml:space="preserve"> </w:t>
      </w:r>
      <w:proofErr w:type="spellStart"/>
      <w:r w:rsidR="00135E2D" w:rsidRPr="004F7E58">
        <w:t>započete</w:t>
      </w:r>
      <w:proofErr w:type="spellEnd"/>
      <w:r w:rsidR="00135E2D" w:rsidRPr="004F7E58">
        <w:t xml:space="preserve"> u </w:t>
      </w:r>
      <w:proofErr w:type="spellStart"/>
      <w:r w:rsidR="00135E2D" w:rsidRPr="004F7E58">
        <w:t>skladu</w:t>
      </w:r>
      <w:proofErr w:type="spellEnd"/>
      <w:r w:rsidR="00135E2D" w:rsidRPr="004F7E58">
        <w:t xml:space="preserve"> </w:t>
      </w:r>
      <w:proofErr w:type="spellStart"/>
      <w:r w:rsidR="00135E2D" w:rsidRPr="004F7E58">
        <w:t>sa</w:t>
      </w:r>
      <w:proofErr w:type="spellEnd"/>
      <w:r w:rsidR="00135E2D" w:rsidRPr="004F7E58">
        <w:t xml:space="preserve"> </w:t>
      </w:r>
      <w:proofErr w:type="spellStart"/>
      <w:r w:rsidR="0094154E" w:rsidRPr="004F7E58">
        <w:t>plan</w:t>
      </w:r>
      <w:r w:rsidR="00135E2D" w:rsidRPr="004F7E58">
        <w:t>om</w:t>
      </w:r>
      <w:proofErr w:type="spellEnd"/>
      <w:r w:rsidR="00135E2D" w:rsidRPr="004F7E58">
        <w:t xml:space="preserve"> (</w:t>
      </w:r>
      <w:proofErr w:type="spellStart"/>
      <w:r w:rsidR="00135E2D" w:rsidRPr="004F7E58">
        <w:t>ukupno</w:t>
      </w:r>
      <w:proofErr w:type="spellEnd"/>
      <w:r w:rsidR="00135E2D" w:rsidRPr="004F7E58">
        <w:t xml:space="preserve"> 4)</w:t>
      </w:r>
      <w:r w:rsidR="0094154E" w:rsidRPr="004F7E58">
        <w:t xml:space="preserve">, </w:t>
      </w:r>
      <w:proofErr w:type="spellStart"/>
      <w:r w:rsidR="0094154E" w:rsidRPr="004F7E58">
        <w:t>što</w:t>
      </w:r>
      <w:proofErr w:type="spellEnd"/>
      <w:r w:rsidR="0094154E" w:rsidRPr="004F7E58">
        <w:t xml:space="preserve"> </w:t>
      </w:r>
      <w:proofErr w:type="spellStart"/>
      <w:r w:rsidR="0094154E" w:rsidRPr="004F7E58">
        <w:t>predstavlja</w:t>
      </w:r>
      <w:proofErr w:type="spellEnd"/>
      <w:r w:rsidR="0094154E" w:rsidRPr="004F7E58">
        <w:t xml:space="preserve"> </w:t>
      </w:r>
      <w:proofErr w:type="spellStart"/>
      <w:r w:rsidR="0094154E" w:rsidRPr="004F7E58">
        <w:t>manju</w:t>
      </w:r>
      <w:proofErr w:type="spellEnd"/>
      <w:r w:rsidR="0094154E" w:rsidRPr="004F7E58">
        <w:t xml:space="preserve"> </w:t>
      </w:r>
      <w:proofErr w:type="spellStart"/>
      <w:r w:rsidR="0094154E" w:rsidRPr="004F7E58">
        <w:t>stopu</w:t>
      </w:r>
      <w:proofErr w:type="spellEnd"/>
      <w:r w:rsidR="0094154E" w:rsidRPr="004F7E58">
        <w:t xml:space="preserve"> </w:t>
      </w:r>
      <w:proofErr w:type="spellStart"/>
      <w:r w:rsidR="0094154E" w:rsidRPr="004F7E58">
        <w:t>kašnjenja</w:t>
      </w:r>
      <w:proofErr w:type="spellEnd"/>
      <w:r w:rsidR="0094154E" w:rsidRPr="004F7E58">
        <w:t xml:space="preserve"> u </w:t>
      </w:r>
      <w:proofErr w:type="spellStart"/>
      <w:r w:rsidR="0094154E" w:rsidRPr="004F7E58">
        <w:t>odnosu</w:t>
      </w:r>
      <w:proofErr w:type="spellEnd"/>
      <w:r w:rsidR="0094154E" w:rsidRPr="004F7E58">
        <w:t xml:space="preserve"> </w:t>
      </w:r>
      <w:proofErr w:type="spellStart"/>
      <w:r w:rsidR="0094154E" w:rsidRPr="004F7E58">
        <w:t>na</w:t>
      </w:r>
      <w:proofErr w:type="spellEnd"/>
      <w:r w:rsidR="0094154E" w:rsidRPr="004F7E58">
        <w:t xml:space="preserve"> plan u </w:t>
      </w:r>
      <w:proofErr w:type="spellStart"/>
      <w:r w:rsidR="0094154E" w:rsidRPr="004F7E58">
        <w:t>poređenju</w:t>
      </w:r>
      <w:proofErr w:type="spellEnd"/>
      <w:r w:rsidR="0094154E" w:rsidRPr="004F7E58">
        <w:t xml:space="preserve"> </w:t>
      </w:r>
      <w:proofErr w:type="spellStart"/>
      <w:r w:rsidR="0094154E" w:rsidRPr="004F7E58">
        <w:t>sa</w:t>
      </w:r>
      <w:proofErr w:type="spellEnd"/>
      <w:r w:rsidR="0094154E" w:rsidRPr="004F7E58">
        <w:t xml:space="preserve"> 2021. (27 </w:t>
      </w:r>
      <w:proofErr w:type="spellStart"/>
      <w:r w:rsidR="0094154E" w:rsidRPr="004F7E58">
        <w:t>kašnjenja</w:t>
      </w:r>
      <w:proofErr w:type="spellEnd"/>
      <w:r w:rsidR="0094154E" w:rsidRPr="004F7E58">
        <w:t>)</w:t>
      </w:r>
      <w:r w:rsidR="00135E2D" w:rsidRPr="004F7E58">
        <w:t>,</w:t>
      </w:r>
      <w:r w:rsidR="0094154E" w:rsidRPr="004F7E58">
        <w:t xml:space="preserve"> 2022. (8 </w:t>
      </w:r>
      <w:proofErr w:type="spellStart"/>
      <w:r w:rsidR="0094154E" w:rsidRPr="004F7E58">
        <w:t>kašnjenja</w:t>
      </w:r>
      <w:proofErr w:type="spellEnd"/>
      <w:r w:rsidR="0094154E" w:rsidRPr="004F7E58">
        <w:t>)</w:t>
      </w:r>
      <w:r w:rsidR="00135E2D" w:rsidRPr="004F7E58">
        <w:t xml:space="preserve"> </w:t>
      </w:r>
      <w:proofErr w:type="spellStart"/>
      <w:r w:rsidR="00135E2D" w:rsidRPr="004F7E58">
        <w:t>i</w:t>
      </w:r>
      <w:proofErr w:type="spellEnd"/>
      <w:r w:rsidR="00135E2D" w:rsidRPr="004F7E58">
        <w:t xml:space="preserve"> 2023. (7 </w:t>
      </w:r>
      <w:proofErr w:type="spellStart"/>
      <w:r w:rsidR="00135E2D" w:rsidRPr="004F7E58">
        <w:t>kašnjenja</w:t>
      </w:r>
      <w:proofErr w:type="spellEnd"/>
      <w:r w:rsidR="00135E2D" w:rsidRPr="004F7E58">
        <w:t>)</w:t>
      </w:r>
      <w:r w:rsidR="0094154E" w:rsidRPr="004F7E58">
        <w:t xml:space="preserve">. </w:t>
      </w:r>
      <w:proofErr w:type="spellStart"/>
      <w:r w:rsidR="0094154E" w:rsidRPr="004F7E58">
        <w:t>Smanjio</w:t>
      </w:r>
      <w:proofErr w:type="spellEnd"/>
      <w:r w:rsidR="0094154E" w:rsidRPr="004F7E58">
        <w:t xml:space="preserve"> se </w:t>
      </w:r>
      <w:proofErr w:type="spellStart"/>
      <w:r w:rsidR="0094154E" w:rsidRPr="004F7E58">
        <w:t>takođe</w:t>
      </w:r>
      <w:proofErr w:type="spellEnd"/>
      <w:r w:rsidR="0094154E" w:rsidRPr="004F7E58">
        <w:t xml:space="preserve"> </w:t>
      </w:r>
      <w:proofErr w:type="spellStart"/>
      <w:r w:rsidR="0094154E" w:rsidRPr="004F7E58">
        <w:t>broj</w:t>
      </w:r>
      <w:proofErr w:type="spellEnd"/>
      <w:r w:rsidR="0094154E" w:rsidRPr="004F7E58">
        <w:t xml:space="preserve"> </w:t>
      </w:r>
      <w:proofErr w:type="spellStart"/>
      <w:r w:rsidR="0094154E" w:rsidRPr="004F7E58">
        <w:t>aktivnosti</w:t>
      </w:r>
      <w:proofErr w:type="spellEnd"/>
      <w:r w:rsidR="0094154E" w:rsidRPr="004F7E58">
        <w:t xml:space="preserve"> </w:t>
      </w:r>
      <w:proofErr w:type="spellStart"/>
      <w:r w:rsidR="0094154E" w:rsidRPr="004F7E58">
        <w:t>koje</w:t>
      </w:r>
      <w:proofErr w:type="spellEnd"/>
      <w:r w:rsidR="0094154E" w:rsidRPr="004F7E58">
        <w:t xml:space="preserve"> </w:t>
      </w:r>
      <w:proofErr w:type="spellStart"/>
      <w:r w:rsidR="0094154E" w:rsidRPr="004F7E58">
        <w:t>nisu</w:t>
      </w:r>
      <w:proofErr w:type="spellEnd"/>
      <w:r w:rsidR="0094154E" w:rsidRPr="004F7E58">
        <w:t xml:space="preserve"> bile </w:t>
      </w:r>
      <w:proofErr w:type="spellStart"/>
      <w:r w:rsidR="0094154E" w:rsidRPr="004F7E58">
        <w:t>planirane</w:t>
      </w:r>
      <w:proofErr w:type="spellEnd"/>
      <w:r w:rsidR="0094154E" w:rsidRPr="004F7E58">
        <w:t xml:space="preserve"> za </w:t>
      </w:r>
      <w:proofErr w:type="spellStart"/>
      <w:r w:rsidR="0094154E" w:rsidRPr="004F7E58">
        <w:t>implementaciju</w:t>
      </w:r>
      <w:proofErr w:type="spellEnd"/>
      <w:r w:rsidR="0094154E" w:rsidRPr="004F7E58">
        <w:t xml:space="preserve"> u </w:t>
      </w:r>
      <w:proofErr w:type="spellStart"/>
      <w:r w:rsidR="0094154E" w:rsidRPr="004F7E58">
        <w:t>izvještajnom</w:t>
      </w:r>
      <w:proofErr w:type="spellEnd"/>
      <w:r w:rsidR="0094154E" w:rsidRPr="004F7E58">
        <w:t xml:space="preserve"> </w:t>
      </w:r>
      <w:proofErr w:type="spellStart"/>
      <w:r w:rsidR="0094154E" w:rsidRPr="004F7E58">
        <w:t>periodu</w:t>
      </w:r>
      <w:proofErr w:type="spellEnd"/>
      <w:r w:rsidR="0094154E" w:rsidRPr="004F7E58">
        <w:t xml:space="preserve"> </w:t>
      </w:r>
      <w:proofErr w:type="spellStart"/>
      <w:r w:rsidR="0094154E" w:rsidRPr="004F7E58">
        <w:t>sa</w:t>
      </w:r>
      <w:proofErr w:type="spellEnd"/>
      <w:r w:rsidR="0094154E" w:rsidRPr="004F7E58">
        <w:t xml:space="preserve"> 38 u 2022. </w:t>
      </w:r>
      <w:proofErr w:type="spellStart"/>
      <w:r w:rsidR="00135E2D" w:rsidRPr="004F7E58">
        <w:t>godini</w:t>
      </w:r>
      <w:proofErr w:type="spellEnd"/>
      <w:r w:rsidR="00135E2D" w:rsidRPr="004F7E58">
        <w:t>,</w:t>
      </w:r>
      <w:r w:rsidR="0094154E" w:rsidRPr="004F7E58">
        <w:t xml:space="preserve"> </w:t>
      </w:r>
      <w:proofErr w:type="spellStart"/>
      <w:r w:rsidR="0094154E" w:rsidRPr="004F7E58">
        <w:t>na</w:t>
      </w:r>
      <w:proofErr w:type="spellEnd"/>
      <w:r w:rsidR="0094154E" w:rsidRPr="004F7E58">
        <w:t xml:space="preserve"> 24 u 2023</w:t>
      </w:r>
      <w:r w:rsidR="00135E2D" w:rsidRPr="004F7E58">
        <w:t xml:space="preserve">, </w:t>
      </w:r>
      <w:proofErr w:type="spellStart"/>
      <w:r w:rsidR="00135E2D" w:rsidRPr="004F7E58">
        <w:t>odnosno</w:t>
      </w:r>
      <w:proofErr w:type="spellEnd"/>
      <w:r w:rsidR="00135E2D" w:rsidRPr="004F7E58">
        <w:t xml:space="preserve"> 21 u 2024. </w:t>
      </w:r>
      <w:proofErr w:type="spellStart"/>
      <w:r w:rsidR="00135E2D" w:rsidRPr="004F7E58">
        <w:t>godini</w:t>
      </w:r>
      <w:proofErr w:type="spellEnd"/>
      <w:r w:rsidR="0094154E" w:rsidRPr="004F7E58">
        <w:t xml:space="preserve">. </w:t>
      </w:r>
    </w:p>
    <w:p w14:paraId="77DB40E7" w14:textId="10983253" w:rsidR="00C97686" w:rsidRPr="004F7E58" w:rsidRDefault="00F479F1" w:rsidP="00D45720">
      <w:pPr>
        <w:spacing w:line="240" w:lineRule="auto"/>
        <w:jc w:val="both"/>
        <w:rPr>
          <w:strike/>
        </w:rPr>
      </w:pPr>
      <w:proofErr w:type="spellStart"/>
      <w:r w:rsidRPr="004F7E58">
        <w:t>Posmatran</w:t>
      </w:r>
      <w:r w:rsidR="004F78E0" w:rsidRPr="004F7E58">
        <w:t>o</w:t>
      </w:r>
      <w:proofErr w:type="spellEnd"/>
      <w:r w:rsidR="004F78E0" w:rsidRPr="004F7E58">
        <w:t xml:space="preserve"> </w:t>
      </w:r>
      <w:proofErr w:type="spellStart"/>
      <w:r w:rsidRPr="004F7E58">
        <w:t>kroz</w:t>
      </w:r>
      <w:proofErr w:type="spellEnd"/>
      <w:r w:rsidRPr="004F7E58">
        <w:t xml:space="preserve"> </w:t>
      </w:r>
      <w:proofErr w:type="spellStart"/>
      <w:r w:rsidR="004F78E0" w:rsidRPr="004F7E58">
        <w:t>rezultate</w:t>
      </w:r>
      <w:proofErr w:type="spellEnd"/>
      <w:r w:rsidR="004F78E0" w:rsidRPr="004F7E58">
        <w:t xml:space="preserve"> </w:t>
      </w:r>
      <w:proofErr w:type="spellStart"/>
      <w:r w:rsidR="004F78E0" w:rsidRPr="004F7E58">
        <w:t>mjere</w:t>
      </w:r>
      <w:proofErr w:type="spellEnd"/>
      <w:r w:rsidR="004F78E0" w:rsidRPr="004F7E58">
        <w:t xml:space="preserve">, </w:t>
      </w:r>
      <w:r w:rsidR="00E80CA2" w:rsidRPr="004F7E58">
        <w:t xml:space="preserve">u </w:t>
      </w:r>
      <w:proofErr w:type="spellStart"/>
      <w:r w:rsidR="00E80CA2" w:rsidRPr="004F7E58">
        <w:t>izvještajnom</w:t>
      </w:r>
      <w:proofErr w:type="spellEnd"/>
      <w:r w:rsidR="00E80CA2" w:rsidRPr="004F7E58">
        <w:t xml:space="preserve"> </w:t>
      </w:r>
      <w:proofErr w:type="spellStart"/>
      <w:r w:rsidR="00E80CA2" w:rsidRPr="004F7E58">
        <w:t>periodu</w:t>
      </w:r>
      <w:proofErr w:type="spellEnd"/>
      <w:r w:rsidR="00E80CA2" w:rsidRPr="004F7E58">
        <w:t xml:space="preserve"> </w:t>
      </w:r>
      <w:proofErr w:type="spellStart"/>
      <w:r w:rsidR="00E80CA2" w:rsidRPr="004F7E58">
        <w:t>su</w:t>
      </w:r>
      <w:proofErr w:type="spellEnd"/>
      <w:r w:rsidR="00E80CA2" w:rsidRPr="004F7E58">
        <w:t xml:space="preserve"> </w:t>
      </w:r>
      <w:proofErr w:type="spellStart"/>
      <w:r w:rsidR="00E80CA2" w:rsidRPr="004F7E58">
        <w:t>ostvarena</w:t>
      </w:r>
      <w:proofErr w:type="spellEnd"/>
      <w:r w:rsidR="00E80CA2" w:rsidRPr="004F7E58">
        <w:t xml:space="preserve"> </w:t>
      </w:r>
      <w:proofErr w:type="spellStart"/>
      <w:r w:rsidR="00E80CA2" w:rsidRPr="004F7E58">
        <w:t>dva</w:t>
      </w:r>
      <w:proofErr w:type="spellEnd"/>
      <w:r w:rsidR="00E80CA2" w:rsidRPr="004F7E58">
        <w:t xml:space="preserve"> </w:t>
      </w:r>
      <w:proofErr w:type="spellStart"/>
      <w:r w:rsidR="00E80CA2" w:rsidRPr="004F7E58">
        <w:t>rezultata</w:t>
      </w:r>
      <w:proofErr w:type="spellEnd"/>
      <w:r w:rsidR="00E80CA2" w:rsidRPr="004F7E58">
        <w:t xml:space="preserve"> </w:t>
      </w:r>
      <w:proofErr w:type="spellStart"/>
      <w:r w:rsidR="00E80CA2" w:rsidRPr="004F7E58">
        <w:t>mjere</w:t>
      </w:r>
      <w:proofErr w:type="spellEnd"/>
      <w:r w:rsidR="00E80CA2" w:rsidRPr="004F7E58">
        <w:t xml:space="preserve">. U </w:t>
      </w:r>
      <w:proofErr w:type="spellStart"/>
      <w:r w:rsidR="004F78E0" w:rsidRPr="004F7E58">
        <w:t>potpunosti</w:t>
      </w:r>
      <w:proofErr w:type="spellEnd"/>
      <w:r w:rsidR="004F78E0" w:rsidRPr="004F7E58">
        <w:t xml:space="preserve"> </w:t>
      </w:r>
      <w:r w:rsidR="00A90EC8" w:rsidRPr="004F7E58">
        <w:t xml:space="preserve">je </w:t>
      </w:r>
      <w:proofErr w:type="spellStart"/>
      <w:r w:rsidR="00E80CA2" w:rsidRPr="004F7E58">
        <w:t>sa</w:t>
      </w:r>
      <w:proofErr w:type="spellEnd"/>
      <w:r w:rsidR="00E80CA2" w:rsidRPr="004F7E58">
        <w:t xml:space="preserve"> </w:t>
      </w:r>
      <w:proofErr w:type="spellStart"/>
      <w:r w:rsidR="00E80CA2" w:rsidRPr="004F7E58">
        <w:t>ovim</w:t>
      </w:r>
      <w:proofErr w:type="spellEnd"/>
      <w:r w:rsidR="00E80CA2" w:rsidRPr="004F7E58">
        <w:t xml:space="preserve"> </w:t>
      </w:r>
      <w:proofErr w:type="spellStart"/>
      <w:r w:rsidR="00E80CA2" w:rsidRPr="004F7E58">
        <w:t>ciklusom</w:t>
      </w:r>
      <w:proofErr w:type="spellEnd"/>
      <w:r w:rsidR="00E80CA2" w:rsidRPr="004F7E58">
        <w:t xml:space="preserve"> </w:t>
      </w:r>
      <w:proofErr w:type="spellStart"/>
      <w:r w:rsidR="00A90EC8" w:rsidRPr="004F7E58">
        <w:t>ostvareno</w:t>
      </w:r>
      <w:proofErr w:type="spellEnd"/>
      <w:r w:rsidR="00A90EC8" w:rsidRPr="004F7E58">
        <w:t xml:space="preserve"> </w:t>
      </w:r>
      <w:r w:rsidR="00E80CA2" w:rsidRPr="004F7E58">
        <w:t xml:space="preserve">12 </w:t>
      </w:r>
      <w:proofErr w:type="spellStart"/>
      <w:r w:rsidR="004F78E0" w:rsidRPr="004F7E58">
        <w:t>rezultata</w:t>
      </w:r>
      <w:proofErr w:type="spellEnd"/>
      <w:r w:rsidR="00EC68A1" w:rsidRPr="004F7E58">
        <w:t xml:space="preserve"> </w:t>
      </w:r>
      <w:proofErr w:type="spellStart"/>
      <w:r w:rsidR="00EC68A1" w:rsidRPr="004F7E58">
        <w:t>mjere</w:t>
      </w:r>
      <w:proofErr w:type="spellEnd"/>
      <w:r w:rsidRPr="004F7E58">
        <w:t xml:space="preserve"> (</w:t>
      </w:r>
      <w:r w:rsidR="00E80CA2" w:rsidRPr="004F7E58">
        <w:t xml:space="preserve">10 </w:t>
      </w:r>
      <w:r w:rsidRPr="004F7E58">
        <w:t xml:space="preserve">u </w:t>
      </w:r>
      <w:proofErr w:type="spellStart"/>
      <w:r w:rsidR="00A90EC8" w:rsidRPr="004F7E58">
        <w:t>prethodnim</w:t>
      </w:r>
      <w:proofErr w:type="spellEnd"/>
      <w:r w:rsidR="00A90EC8" w:rsidRPr="004F7E58">
        <w:t xml:space="preserve"> </w:t>
      </w:r>
      <w:proofErr w:type="spellStart"/>
      <w:r w:rsidR="00A90EC8" w:rsidRPr="004F7E58">
        <w:t>godinama</w:t>
      </w:r>
      <w:proofErr w:type="spellEnd"/>
      <w:r w:rsidRPr="004F7E58">
        <w:t>)</w:t>
      </w:r>
      <w:r w:rsidR="00E80CA2" w:rsidRPr="004F7E58">
        <w:t xml:space="preserve">. </w:t>
      </w:r>
      <w:proofErr w:type="spellStart"/>
      <w:r w:rsidR="00E80CA2" w:rsidRPr="004F7E58">
        <w:t>Ujedno</w:t>
      </w:r>
      <w:proofErr w:type="spellEnd"/>
      <w:r w:rsidR="00E80CA2" w:rsidRPr="004F7E58">
        <w:t>,</w:t>
      </w:r>
      <w:r w:rsidR="004F78E0" w:rsidRPr="004F7E58">
        <w:t xml:space="preserve"> </w:t>
      </w:r>
      <w:proofErr w:type="spellStart"/>
      <w:r w:rsidRPr="004F7E58">
        <w:t>povećao</w:t>
      </w:r>
      <w:proofErr w:type="spellEnd"/>
      <w:r w:rsidRPr="004F7E58">
        <w:t xml:space="preserve"> se </w:t>
      </w:r>
      <w:proofErr w:type="spellStart"/>
      <w:r w:rsidRPr="004F7E58">
        <w:t>broj</w:t>
      </w:r>
      <w:proofErr w:type="spellEnd"/>
      <w:r w:rsidRPr="004F7E58">
        <w:t xml:space="preserve"> </w:t>
      </w:r>
      <w:proofErr w:type="spellStart"/>
      <w:r w:rsidRPr="004F7E58">
        <w:t>djelomično</w:t>
      </w:r>
      <w:proofErr w:type="spellEnd"/>
      <w:r w:rsidRPr="004F7E58">
        <w:t xml:space="preserve"> </w:t>
      </w:r>
      <w:proofErr w:type="spellStart"/>
      <w:r w:rsidRPr="004F7E58">
        <w:t>ostvarenih</w:t>
      </w:r>
      <w:proofErr w:type="spellEnd"/>
      <w:r w:rsidRPr="004F7E58">
        <w:t xml:space="preserve"> </w:t>
      </w:r>
      <w:proofErr w:type="spellStart"/>
      <w:r w:rsidR="0085239F" w:rsidRPr="004F7E58">
        <w:t>rezultata</w:t>
      </w:r>
      <w:proofErr w:type="spellEnd"/>
      <w:r w:rsidR="0085239F" w:rsidRPr="004F7E58">
        <w:t xml:space="preserve"> </w:t>
      </w:r>
      <w:proofErr w:type="spellStart"/>
      <w:r w:rsidR="0085239F" w:rsidRPr="004F7E58">
        <w:t>mjere</w:t>
      </w:r>
      <w:proofErr w:type="spellEnd"/>
      <w:r w:rsidRPr="004F7E58">
        <w:t xml:space="preserve"> </w:t>
      </w:r>
      <w:proofErr w:type="spellStart"/>
      <w:r w:rsidRPr="004F7E58">
        <w:t>sa</w:t>
      </w:r>
      <w:proofErr w:type="spellEnd"/>
      <w:r w:rsidRPr="004F7E58">
        <w:t xml:space="preserve"> 2</w:t>
      </w:r>
      <w:r w:rsidR="00A90EC8" w:rsidRPr="004F7E58">
        <w:t>7</w:t>
      </w:r>
      <w:r w:rsidRPr="004F7E58">
        <w:t xml:space="preserve"> u </w:t>
      </w:r>
      <w:r w:rsidR="00E80CA2" w:rsidRPr="004F7E58">
        <w:t>2023</w:t>
      </w:r>
      <w:r w:rsidRPr="004F7E58">
        <w:t xml:space="preserve">. </w:t>
      </w:r>
      <w:proofErr w:type="spellStart"/>
      <w:r w:rsidR="00E80CA2" w:rsidRPr="004F7E58">
        <w:t>godini</w:t>
      </w:r>
      <w:proofErr w:type="spellEnd"/>
      <w:r w:rsidR="00E80CA2" w:rsidRPr="004F7E58">
        <w:t xml:space="preserve"> </w:t>
      </w:r>
      <w:proofErr w:type="spellStart"/>
      <w:r w:rsidR="00E80CA2" w:rsidRPr="004F7E58">
        <w:t>na</w:t>
      </w:r>
      <w:proofErr w:type="spellEnd"/>
      <w:r w:rsidR="00E80CA2" w:rsidRPr="004F7E58">
        <w:t xml:space="preserve"> 28 u </w:t>
      </w:r>
      <w:proofErr w:type="spellStart"/>
      <w:r w:rsidR="00E80CA2" w:rsidRPr="004F7E58">
        <w:t>izvještajnom</w:t>
      </w:r>
      <w:proofErr w:type="spellEnd"/>
      <w:r w:rsidR="00E80CA2" w:rsidRPr="004F7E58">
        <w:t xml:space="preserve"> </w:t>
      </w:r>
      <w:proofErr w:type="spellStart"/>
      <w:r w:rsidR="00E80CA2" w:rsidRPr="004F7E58">
        <w:t>periodu</w:t>
      </w:r>
      <w:proofErr w:type="spellEnd"/>
      <w:r w:rsidR="004F78E0" w:rsidRPr="004F7E58">
        <w:t>.</w:t>
      </w:r>
      <w:r w:rsidR="00A90EC8" w:rsidRPr="004F7E58">
        <w:t xml:space="preserve"> </w:t>
      </w:r>
      <w:r w:rsidR="0085239F" w:rsidRPr="004F7E58">
        <w:t xml:space="preserve">Za </w:t>
      </w:r>
      <w:r w:rsidR="000D5FB6" w:rsidRPr="004F7E58">
        <w:t xml:space="preserve">41 </w:t>
      </w:r>
      <w:proofErr w:type="spellStart"/>
      <w:r w:rsidR="004F78E0" w:rsidRPr="004F7E58">
        <w:t>rezultat</w:t>
      </w:r>
      <w:proofErr w:type="spellEnd"/>
      <w:r w:rsidR="004F78E0" w:rsidRPr="004F7E58">
        <w:t xml:space="preserve"> </w:t>
      </w:r>
      <w:proofErr w:type="spellStart"/>
      <w:r w:rsidR="004F78E0" w:rsidRPr="004F7E58">
        <w:t>mjere</w:t>
      </w:r>
      <w:proofErr w:type="spellEnd"/>
      <w:r w:rsidR="004F78E0" w:rsidRPr="004F7E58">
        <w:t xml:space="preserve"> </w:t>
      </w:r>
      <w:proofErr w:type="spellStart"/>
      <w:r w:rsidR="004F78E0" w:rsidRPr="004F7E58">
        <w:t>nije</w:t>
      </w:r>
      <w:proofErr w:type="spellEnd"/>
      <w:r w:rsidR="004F78E0" w:rsidRPr="004F7E58">
        <w:t xml:space="preserve"> </w:t>
      </w:r>
      <w:proofErr w:type="spellStart"/>
      <w:r w:rsidR="004F78E0" w:rsidRPr="004F7E58">
        <w:t>bilo</w:t>
      </w:r>
      <w:proofErr w:type="spellEnd"/>
      <w:r w:rsidR="004F78E0" w:rsidRPr="004F7E58">
        <w:t xml:space="preserve"> </w:t>
      </w:r>
      <w:proofErr w:type="spellStart"/>
      <w:r w:rsidR="004F78E0" w:rsidRPr="004F7E58">
        <w:t>planirano</w:t>
      </w:r>
      <w:proofErr w:type="spellEnd"/>
      <w:r w:rsidR="004F78E0" w:rsidRPr="004F7E58">
        <w:t xml:space="preserve"> </w:t>
      </w:r>
      <w:proofErr w:type="spellStart"/>
      <w:r w:rsidR="004F78E0" w:rsidRPr="004F7E58">
        <w:t>postizanje</w:t>
      </w:r>
      <w:proofErr w:type="spellEnd"/>
      <w:r w:rsidR="004F78E0" w:rsidRPr="004F7E58">
        <w:t xml:space="preserve"> </w:t>
      </w:r>
      <w:proofErr w:type="spellStart"/>
      <w:r w:rsidR="000A0206" w:rsidRPr="004F7E58">
        <w:t>ciljnih</w:t>
      </w:r>
      <w:proofErr w:type="spellEnd"/>
      <w:r w:rsidR="000A0206" w:rsidRPr="004F7E58">
        <w:t xml:space="preserve"> </w:t>
      </w:r>
      <w:proofErr w:type="spellStart"/>
      <w:r w:rsidR="000A0206" w:rsidRPr="004F7E58">
        <w:t>vrij</w:t>
      </w:r>
      <w:r w:rsidR="0085239F" w:rsidRPr="004F7E58">
        <w:t>ednosti</w:t>
      </w:r>
      <w:proofErr w:type="spellEnd"/>
      <w:r w:rsidR="0085239F" w:rsidRPr="004F7E58">
        <w:t xml:space="preserve"> </w:t>
      </w:r>
      <w:r w:rsidR="004F78E0" w:rsidRPr="004F7E58">
        <w:t xml:space="preserve">u </w:t>
      </w:r>
      <w:proofErr w:type="spellStart"/>
      <w:r w:rsidR="004F78E0" w:rsidRPr="004F7E58">
        <w:t>izvještajnom</w:t>
      </w:r>
      <w:proofErr w:type="spellEnd"/>
      <w:r w:rsidR="004F78E0" w:rsidRPr="004F7E58">
        <w:t xml:space="preserve"> </w:t>
      </w:r>
      <w:proofErr w:type="spellStart"/>
      <w:r w:rsidR="004F78E0" w:rsidRPr="004F7E58">
        <w:t>period</w:t>
      </w:r>
      <w:r w:rsidR="006B0B9E" w:rsidRPr="004F7E58">
        <w:t>u</w:t>
      </w:r>
      <w:proofErr w:type="spellEnd"/>
      <w:r w:rsidR="004F78E0" w:rsidRPr="004F7E58">
        <w:t xml:space="preserve"> </w:t>
      </w:r>
      <w:proofErr w:type="spellStart"/>
      <w:r w:rsidR="006B0B9E" w:rsidRPr="004F7E58">
        <w:t>i</w:t>
      </w:r>
      <w:proofErr w:type="spellEnd"/>
      <w:r w:rsidR="004F78E0" w:rsidRPr="004F7E58">
        <w:t xml:space="preserve"> </w:t>
      </w:r>
      <w:proofErr w:type="spellStart"/>
      <w:r w:rsidR="004F78E0" w:rsidRPr="004F7E58">
        <w:t>rok</w:t>
      </w:r>
      <w:proofErr w:type="spellEnd"/>
      <w:r w:rsidR="004F78E0" w:rsidRPr="004F7E58">
        <w:t xml:space="preserve"> za </w:t>
      </w:r>
      <w:proofErr w:type="spellStart"/>
      <w:r w:rsidR="004F78E0" w:rsidRPr="004F7E58">
        <w:t>njihovu</w:t>
      </w:r>
      <w:proofErr w:type="spellEnd"/>
      <w:r w:rsidR="004F78E0" w:rsidRPr="004F7E58">
        <w:t xml:space="preserve"> </w:t>
      </w:r>
      <w:proofErr w:type="spellStart"/>
      <w:r w:rsidR="004F78E0" w:rsidRPr="004F7E58">
        <w:t>realizaciju</w:t>
      </w:r>
      <w:proofErr w:type="spellEnd"/>
      <w:r w:rsidR="004F78E0" w:rsidRPr="004F7E58">
        <w:t xml:space="preserve"> </w:t>
      </w:r>
      <w:proofErr w:type="spellStart"/>
      <w:r w:rsidR="004F78E0" w:rsidRPr="004F7E58">
        <w:t>nije</w:t>
      </w:r>
      <w:proofErr w:type="spellEnd"/>
      <w:r w:rsidR="004F78E0" w:rsidRPr="004F7E58">
        <w:t xml:space="preserve"> </w:t>
      </w:r>
      <w:proofErr w:type="spellStart"/>
      <w:r w:rsidR="004F78E0" w:rsidRPr="004F7E58">
        <w:t>istekao</w:t>
      </w:r>
      <w:proofErr w:type="spellEnd"/>
      <w:r w:rsidR="000D5FB6" w:rsidRPr="004F7E58">
        <w:t xml:space="preserve"> (u </w:t>
      </w:r>
      <w:proofErr w:type="spellStart"/>
      <w:r w:rsidR="000D5FB6" w:rsidRPr="004F7E58">
        <w:t>odnosu</w:t>
      </w:r>
      <w:proofErr w:type="spellEnd"/>
      <w:r w:rsidR="000D5FB6" w:rsidRPr="004F7E58">
        <w:t xml:space="preserve"> </w:t>
      </w:r>
      <w:proofErr w:type="spellStart"/>
      <w:r w:rsidR="000D5FB6" w:rsidRPr="004F7E58">
        <w:t>na</w:t>
      </w:r>
      <w:proofErr w:type="spellEnd"/>
      <w:r w:rsidR="000D5FB6" w:rsidRPr="004F7E58">
        <w:t xml:space="preserve"> 51 </w:t>
      </w:r>
      <w:proofErr w:type="spellStart"/>
      <w:r w:rsidR="000D5FB6" w:rsidRPr="004F7E58">
        <w:t>takav</w:t>
      </w:r>
      <w:proofErr w:type="spellEnd"/>
      <w:r w:rsidR="000D5FB6" w:rsidRPr="004F7E58">
        <w:t xml:space="preserve"> </w:t>
      </w:r>
      <w:proofErr w:type="spellStart"/>
      <w:r w:rsidR="000D5FB6" w:rsidRPr="004F7E58">
        <w:t>rezultat</w:t>
      </w:r>
      <w:proofErr w:type="spellEnd"/>
      <w:r w:rsidR="000D5FB6" w:rsidRPr="004F7E58">
        <w:t xml:space="preserve"> </w:t>
      </w:r>
      <w:proofErr w:type="spellStart"/>
      <w:r w:rsidR="005D4D3D">
        <w:t>mjere</w:t>
      </w:r>
      <w:proofErr w:type="spellEnd"/>
      <w:r w:rsidR="005D4D3D">
        <w:t xml:space="preserve"> </w:t>
      </w:r>
      <w:proofErr w:type="spellStart"/>
      <w:r w:rsidR="000D5FB6" w:rsidRPr="004F7E58">
        <w:t>sa</w:t>
      </w:r>
      <w:proofErr w:type="spellEnd"/>
      <w:r w:rsidR="000D5FB6" w:rsidRPr="004F7E58">
        <w:t xml:space="preserve"> </w:t>
      </w:r>
      <w:proofErr w:type="spellStart"/>
      <w:r w:rsidR="000D5FB6" w:rsidRPr="004F7E58">
        <w:t>krajem</w:t>
      </w:r>
      <w:proofErr w:type="spellEnd"/>
      <w:r w:rsidR="000D5FB6" w:rsidRPr="004F7E58">
        <w:t xml:space="preserve"> 2023. </w:t>
      </w:r>
      <w:proofErr w:type="spellStart"/>
      <w:r w:rsidR="000D5FB6" w:rsidRPr="004F7E58">
        <w:t>godine</w:t>
      </w:r>
      <w:proofErr w:type="spellEnd"/>
      <w:r w:rsidR="000D5FB6" w:rsidRPr="004F7E58">
        <w:t>)</w:t>
      </w:r>
      <w:r w:rsidR="00E80768" w:rsidRPr="004F7E58">
        <w:t>.</w:t>
      </w:r>
      <w:r w:rsidRPr="004F7E58">
        <w:t xml:space="preserve"> </w:t>
      </w:r>
      <w:r w:rsidR="00A90EC8" w:rsidRPr="004F7E58">
        <w:t xml:space="preserve">U </w:t>
      </w:r>
      <w:r w:rsidR="000D5FB6" w:rsidRPr="004F7E58">
        <w:t>2024</w:t>
      </w:r>
      <w:r w:rsidR="00A90EC8" w:rsidRPr="004F7E58">
        <w:t xml:space="preserve">. </w:t>
      </w:r>
      <w:proofErr w:type="spellStart"/>
      <w:r w:rsidR="00A90EC8" w:rsidRPr="004F7E58">
        <w:t>godini</w:t>
      </w:r>
      <w:proofErr w:type="spellEnd"/>
      <w:r w:rsidR="00A90EC8" w:rsidRPr="004F7E58">
        <w:t xml:space="preserve"> </w:t>
      </w:r>
      <w:proofErr w:type="spellStart"/>
      <w:r w:rsidR="000D5FB6" w:rsidRPr="004F7E58">
        <w:t>su</w:t>
      </w:r>
      <w:proofErr w:type="spellEnd"/>
      <w:r w:rsidR="000D5FB6" w:rsidRPr="004F7E58">
        <w:t xml:space="preserve"> </w:t>
      </w:r>
      <w:proofErr w:type="spellStart"/>
      <w:r w:rsidR="000D5FB6" w:rsidRPr="004F7E58">
        <w:t>bila</w:t>
      </w:r>
      <w:proofErr w:type="spellEnd"/>
      <w:r w:rsidR="000D5FB6" w:rsidRPr="004F7E58">
        <w:t xml:space="preserve"> </w:t>
      </w:r>
      <w:proofErr w:type="spellStart"/>
      <w:r w:rsidR="000D5FB6" w:rsidRPr="004F7E58">
        <w:t>dva</w:t>
      </w:r>
      <w:proofErr w:type="spellEnd"/>
      <w:r w:rsidR="000D5FB6" w:rsidRPr="004F7E58">
        <w:t xml:space="preserve"> </w:t>
      </w:r>
      <w:proofErr w:type="spellStart"/>
      <w:r w:rsidRPr="004F7E58">
        <w:t>planiran</w:t>
      </w:r>
      <w:r w:rsidR="000D5FB6" w:rsidRPr="004F7E58">
        <w:t>a</w:t>
      </w:r>
      <w:proofErr w:type="spellEnd"/>
      <w:r w:rsidRPr="004F7E58">
        <w:t xml:space="preserve"> </w:t>
      </w:r>
      <w:proofErr w:type="spellStart"/>
      <w:r w:rsidRPr="004F7E58">
        <w:t>rezultata</w:t>
      </w:r>
      <w:proofErr w:type="spellEnd"/>
      <w:r w:rsidRPr="004F7E58">
        <w:t xml:space="preserve"> </w:t>
      </w:r>
      <w:proofErr w:type="spellStart"/>
      <w:r w:rsidR="000D5FB6" w:rsidRPr="004F7E58">
        <w:t>mjere</w:t>
      </w:r>
      <w:proofErr w:type="spellEnd"/>
      <w:r w:rsidR="000D5FB6" w:rsidRPr="004F7E58">
        <w:t xml:space="preserve"> </w:t>
      </w:r>
      <w:proofErr w:type="spellStart"/>
      <w:r w:rsidRPr="004F7E58">
        <w:t>koj</w:t>
      </w:r>
      <w:r w:rsidR="005D4D3D">
        <w:t>a</w:t>
      </w:r>
      <w:proofErr w:type="spellEnd"/>
      <w:r w:rsidRPr="004F7E58">
        <w:t xml:space="preserve"> </w:t>
      </w:r>
      <w:proofErr w:type="spellStart"/>
      <w:r w:rsidRPr="004F7E58">
        <w:t>nisu</w:t>
      </w:r>
      <w:proofErr w:type="spellEnd"/>
      <w:r w:rsidRPr="004F7E58">
        <w:t xml:space="preserve"> </w:t>
      </w:r>
      <w:proofErr w:type="spellStart"/>
      <w:r w:rsidRPr="004F7E58">
        <w:t>ostvaren</w:t>
      </w:r>
      <w:r w:rsidR="005D4D3D">
        <w:t>a</w:t>
      </w:r>
      <w:proofErr w:type="spellEnd"/>
      <w:r w:rsidR="000D5FB6" w:rsidRPr="004F7E58">
        <w:t xml:space="preserve"> (</w:t>
      </w:r>
      <w:proofErr w:type="spellStart"/>
      <w:r w:rsidR="000D5FB6" w:rsidRPr="004F7E58">
        <w:t>dva</w:t>
      </w:r>
      <w:proofErr w:type="spellEnd"/>
      <w:r w:rsidR="000D5FB6" w:rsidRPr="004F7E58">
        <w:t xml:space="preserve"> </w:t>
      </w:r>
      <w:proofErr w:type="spellStart"/>
      <w:r w:rsidR="000D5FB6" w:rsidRPr="004F7E58">
        <w:t>više</w:t>
      </w:r>
      <w:proofErr w:type="spellEnd"/>
      <w:r w:rsidR="000D5FB6" w:rsidRPr="004F7E58">
        <w:t xml:space="preserve"> </w:t>
      </w:r>
      <w:proofErr w:type="spellStart"/>
      <w:r w:rsidR="000D5FB6" w:rsidRPr="004F7E58">
        <w:t>nego</w:t>
      </w:r>
      <w:proofErr w:type="spellEnd"/>
      <w:r w:rsidR="000D5FB6" w:rsidRPr="004F7E58">
        <w:t xml:space="preserve"> u </w:t>
      </w:r>
      <w:proofErr w:type="spellStart"/>
      <w:r w:rsidR="000D5FB6" w:rsidRPr="004F7E58">
        <w:t>prethodnom</w:t>
      </w:r>
      <w:proofErr w:type="spellEnd"/>
      <w:r w:rsidR="000D5FB6" w:rsidRPr="004F7E58">
        <w:t xml:space="preserve"> </w:t>
      </w:r>
      <w:proofErr w:type="spellStart"/>
      <w:r w:rsidR="000D5FB6" w:rsidRPr="004F7E58">
        <w:t>izvještajnom</w:t>
      </w:r>
      <w:proofErr w:type="spellEnd"/>
      <w:r w:rsidR="000D5FB6" w:rsidRPr="004F7E58">
        <w:t xml:space="preserve"> </w:t>
      </w:r>
      <w:proofErr w:type="spellStart"/>
      <w:r w:rsidR="000D5FB6" w:rsidRPr="004F7E58">
        <w:t>periodu</w:t>
      </w:r>
      <w:proofErr w:type="spellEnd"/>
      <w:r w:rsidR="000D5FB6" w:rsidRPr="004F7E58">
        <w:t>)</w:t>
      </w:r>
      <w:r w:rsidRPr="004F7E58">
        <w:t>.</w:t>
      </w:r>
      <w:r w:rsidR="004F78E0" w:rsidRPr="004F7E58">
        <w:rPr>
          <w:strike/>
        </w:rPr>
        <w:t xml:space="preserve">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964"/>
        <w:gridCol w:w="355"/>
        <w:gridCol w:w="356"/>
        <w:gridCol w:w="3825"/>
        <w:gridCol w:w="425"/>
        <w:gridCol w:w="425"/>
      </w:tblGrid>
      <w:tr w:rsidR="00B963AD" w:rsidRPr="004F7E58" w14:paraId="185E8C40" w14:textId="77777777" w:rsidTr="004F7E58">
        <w:tc>
          <w:tcPr>
            <w:tcW w:w="4675" w:type="dxa"/>
            <w:gridSpan w:val="3"/>
            <w:shd w:val="clear" w:color="auto" w:fill="auto"/>
          </w:tcPr>
          <w:p w14:paraId="6A2DAF1A" w14:textId="6566E180" w:rsidR="00B963AD" w:rsidRPr="004F7E58" w:rsidRDefault="00135E2D" w:rsidP="00DC7F97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1C67CC96" wp14:editId="56B9331D">
                  <wp:extent cx="2496198" cy="2515168"/>
                  <wp:effectExtent l="0" t="0" r="18415" b="0"/>
                  <wp:docPr id="24" name="Chart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2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A364CA" w14:textId="1C543447" w:rsidR="00B963AD" w:rsidRPr="004F7E58" w:rsidRDefault="00135E2D" w:rsidP="00B62B24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4B856C9A" wp14:editId="6B25C9E5">
                  <wp:extent cx="2487244" cy="2515168"/>
                  <wp:effectExtent l="0" t="0" r="8890" b="0"/>
                  <wp:docPr id="25" name="Chart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2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1C75EE" w:rsidRPr="004F7E58" w14:paraId="02D36857" w14:textId="77777777" w:rsidTr="000570E6">
        <w:tc>
          <w:tcPr>
            <w:tcW w:w="3964" w:type="dxa"/>
          </w:tcPr>
          <w:p w14:paraId="7E373841" w14:textId="6A80C4E6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1. Nije započeta (ali predviđeno u 202</w:t>
            </w:r>
            <w:r w:rsidR="006922D2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F0000"/>
          </w:tcPr>
          <w:p w14:paraId="277620FB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79DC1153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0A919CAF" w14:textId="6DABE78E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postignuta</w:t>
            </w:r>
          </w:p>
        </w:tc>
        <w:tc>
          <w:tcPr>
            <w:tcW w:w="425" w:type="dxa"/>
            <w:shd w:val="clear" w:color="auto" w:fill="FF0000"/>
          </w:tcPr>
          <w:p w14:paraId="0F349F0C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70C64F0C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1C75EE" w:rsidRPr="004F7E58" w14:paraId="615B588A" w14:textId="77777777" w:rsidTr="000570E6">
        <w:tc>
          <w:tcPr>
            <w:tcW w:w="3964" w:type="dxa"/>
          </w:tcPr>
          <w:p w14:paraId="03567128" w14:textId="34DAA44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5. Nije započeta (nije ni predviđeno u 202</w:t>
            </w:r>
            <w:r w:rsidR="006922D2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2F2F2" w:themeFill="background1" w:themeFillShade="F2"/>
          </w:tcPr>
          <w:p w14:paraId="263FAAB5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73849B70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414C0366" w14:textId="76DF34F5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  <w:tc>
          <w:tcPr>
            <w:tcW w:w="425" w:type="dxa"/>
            <w:shd w:val="clear" w:color="auto" w:fill="FFE599" w:themeFill="accent4" w:themeFillTint="66"/>
          </w:tcPr>
          <w:p w14:paraId="1C2B2AE9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3F19F1BB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1C75EE" w:rsidRPr="004F7E58" w14:paraId="021732A3" w14:textId="77777777" w:rsidTr="000570E6">
        <w:tc>
          <w:tcPr>
            <w:tcW w:w="3964" w:type="dxa"/>
          </w:tcPr>
          <w:p w14:paraId="08609C86" w14:textId="3452E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2. U toku </w:t>
            </w:r>
          </w:p>
        </w:tc>
        <w:tc>
          <w:tcPr>
            <w:tcW w:w="355" w:type="dxa"/>
            <w:shd w:val="clear" w:color="auto" w:fill="FFE599" w:themeFill="accent4" w:themeFillTint="66"/>
          </w:tcPr>
          <w:p w14:paraId="7D6173DA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1EA674B9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72D8A0DD" w14:textId="6BFF9D4D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BA03F4F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4DA9B1CF" w14:textId="77777777" w:rsidR="001C75EE" w:rsidRPr="004F7E58" w:rsidRDefault="001C75EE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D85C67" w:rsidRPr="004F7E58" w14:paraId="0BB397BF" w14:textId="77777777" w:rsidTr="000570E6">
        <w:tc>
          <w:tcPr>
            <w:tcW w:w="3964" w:type="dxa"/>
          </w:tcPr>
          <w:p w14:paraId="4EFE41EC" w14:textId="414EF0E0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3. Završena u 202</w:t>
            </w:r>
            <w:r w:rsidR="006922D2" w:rsidRPr="004F7E58">
              <w:rPr>
                <w:noProof/>
                <w:lang w:val="bs-Latn-BA"/>
              </w:rPr>
              <w:t>4</w:t>
            </w:r>
          </w:p>
        </w:tc>
        <w:tc>
          <w:tcPr>
            <w:tcW w:w="355" w:type="dxa"/>
            <w:shd w:val="clear" w:color="auto" w:fill="C5E0B3" w:themeFill="accent6" w:themeFillTint="66"/>
          </w:tcPr>
          <w:p w14:paraId="0B33E91C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color w:val="FFFF00"/>
                <w:lang w:val="bs-Latn-BA"/>
              </w:rPr>
            </w:pPr>
          </w:p>
        </w:tc>
        <w:tc>
          <w:tcPr>
            <w:tcW w:w="356" w:type="dxa"/>
          </w:tcPr>
          <w:p w14:paraId="618290A4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68F3C9A1" w14:textId="48428E61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B8B0E76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50B6B110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D85C67" w:rsidRPr="004F7E58" w14:paraId="31CA1FE5" w14:textId="77777777" w:rsidTr="000570E6">
        <w:tc>
          <w:tcPr>
            <w:tcW w:w="3964" w:type="dxa"/>
          </w:tcPr>
          <w:p w14:paraId="03D12134" w14:textId="14BD315A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4.  Završena iz prethodnog perioda</w:t>
            </w:r>
          </w:p>
        </w:tc>
        <w:tc>
          <w:tcPr>
            <w:tcW w:w="355" w:type="dxa"/>
            <w:shd w:val="clear" w:color="auto" w:fill="00B050"/>
          </w:tcPr>
          <w:p w14:paraId="08F37ED1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0054D0E0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50DDD6A6" w14:textId="3C5CFF5F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definirana</w:t>
            </w:r>
          </w:p>
        </w:tc>
        <w:tc>
          <w:tcPr>
            <w:tcW w:w="425" w:type="dxa"/>
            <w:shd w:val="clear" w:color="auto" w:fill="FFCCFF"/>
          </w:tcPr>
          <w:p w14:paraId="69807DC3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016599CE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D85C67" w:rsidRPr="004F7E58" w14:paraId="70DACE05" w14:textId="77777777" w:rsidTr="00D85C67">
        <w:tc>
          <w:tcPr>
            <w:tcW w:w="3964" w:type="dxa"/>
          </w:tcPr>
          <w:p w14:paraId="3236668A" w14:textId="391B000F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5" w:type="dxa"/>
          </w:tcPr>
          <w:p w14:paraId="6C089303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1FFCB83D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3D34CBCF" w14:textId="56BDBB13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 u prethodnom periodu</w:t>
            </w:r>
          </w:p>
        </w:tc>
        <w:tc>
          <w:tcPr>
            <w:tcW w:w="425" w:type="dxa"/>
            <w:shd w:val="clear" w:color="auto" w:fill="00B050"/>
          </w:tcPr>
          <w:p w14:paraId="2D7BA143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7AE651BE" w14:textId="77777777" w:rsidR="00D85C67" w:rsidRPr="004F7E58" w:rsidRDefault="00D85C67" w:rsidP="001C75E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</w:tbl>
    <w:p w14:paraId="21BCFC74" w14:textId="77777777" w:rsidR="00B963AD" w:rsidRPr="004F7E58" w:rsidRDefault="00B963AD" w:rsidP="00C97686"/>
    <w:p w14:paraId="6F2D3525" w14:textId="77777777" w:rsidR="00B963AD" w:rsidRPr="004F7E58" w:rsidRDefault="00B963AD" w:rsidP="00C97686"/>
    <w:p w14:paraId="46AD4005" w14:textId="77777777" w:rsidR="004B78DB" w:rsidRPr="004F7E58" w:rsidRDefault="004B78DB">
      <w:pPr>
        <w:rPr>
          <w:rFonts w:asciiTheme="majorHAnsi" w:eastAsiaTheme="majorEastAsia" w:hAnsiTheme="majorHAnsi" w:cstheme="majorBidi"/>
          <w:b/>
          <w:color w:val="C00000"/>
          <w:sz w:val="32"/>
          <w:szCs w:val="32"/>
        </w:rPr>
      </w:pPr>
      <w:r w:rsidRPr="004F7E58">
        <w:rPr>
          <w:b/>
          <w:color w:val="C00000"/>
        </w:rPr>
        <w:br w:type="page"/>
      </w:r>
    </w:p>
    <w:p w14:paraId="0FD6006B" w14:textId="04E0633B" w:rsidR="000D696C" w:rsidRPr="004F7E58" w:rsidRDefault="00223E6E" w:rsidP="0078617B">
      <w:pPr>
        <w:pStyle w:val="Heading1"/>
        <w:numPr>
          <w:ilvl w:val="0"/>
          <w:numId w:val="12"/>
        </w:numPr>
        <w:ind w:left="0" w:firstLine="0"/>
        <w:rPr>
          <w:b/>
          <w:color w:val="C00000"/>
        </w:rPr>
      </w:pPr>
      <w:bookmarkStart w:id="5" w:name="_Toc214450218"/>
      <w:proofErr w:type="spellStart"/>
      <w:r w:rsidRPr="004F7E58">
        <w:rPr>
          <w:b/>
          <w:color w:val="C00000"/>
        </w:rPr>
        <w:lastRenderedPageBreak/>
        <w:t>P</w:t>
      </w:r>
      <w:r w:rsidR="000D696C" w:rsidRPr="004F7E58">
        <w:rPr>
          <w:b/>
          <w:color w:val="C00000"/>
        </w:rPr>
        <w:t>regled</w:t>
      </w:r>
      <w:proofErr w:type="spellEnd"/>
      <w:r w:rsidR="000D696C" w:rsidRPr="004F7E58">
        <w:rPr>
          <w:b/>
          <w:color w:val="C00000"/>
        </w:rPr>
        <w:t xml:space="preserve"> </w:t>
      </w:r>
      <w:proofErr w:type="spellStart"/>
      <w:r w:rsidR="000D696C" w:rsidRPr="004F7E58">
        <w:rPr>
          <w:b/>
          <w:color w:val="C00000"/>
        </w:rPr>
        <w:t>ostvarenja</w:t>
      </w:r>
      <w:proofErr w:type="spellEnd"/>
      <w:r w:rsidR="000D696C" w:rsidRPr="004F7E58">
        <w:rPr>
          <w:b/>
          <w:color w:val="C00000"/>
        </w:rPr>
        <w:t xml:space="preserve"> </w:t>
      </w:r>
      <w:proofErr w:type="spellStart"/>
      <w:r w:rsidR="00423F06" w:rsidRPr="004F7E58">
        <w:rPr>
          <w:b/>
          <w:color w:val="C00000"/>
        </w:rPr>
        <w:t>aktivnosti</w:t>
      </w:r>
      <w:proofErr w:type="spellEnd"/>
      <w:r w:rsidR="00423F06" w:rsidRPr="004F7E58">
        <w:rPr>
          <w:b/>
          <w:color w:val="C00000"/>
        </w:rPr>
        <w:t xml:space="preserve"> </w:t>
      </w:r>
      <w:proofErr w:type="spellStart"/>
      <w:r w:rsidR="00423F06" w:rsidRPr="004F7E58">
        <w:rPr>
          <w:b/>
          <w:color w:val="C00000"/>
        </w:rPr>
        <w:t>i</w:t>
      </w:r>
      <w:proofErr w:type="spellEnd"/>
      <w:r w:rsidR="00423F06" w:rsidRPr="004F7E58">
        <w:rPr>
          <w:b/>
          <w:color w:val="C00000"/>
        </w:rPr>
        <w:t xml:space="preserve"> </w:t>
      </w:r>
      <w:proofErr w:type="spellStart"/>
      <w:r w:rsidR="00314BC1" w:rsidRPr="004F7E58">
        <w:rPr>
          <w:b/>
          <w:color w:val="C00000"/>
        </w:rPr>
        <w:t>rezultata</w:t>
      </w:r>
      <w:proofErr w:type="spellEnd"/>
      <w:r w:rsidR="00314BC1" w:rsidRPr="004F7E58">
        <w:rPr>
          <w:b/>
          <w:color w:val="C00000"/>
        </w:rPr>
        <w:t xml:space="preserve"> </w:t>
      </w:r>
      <w:r w:rsidR="00921F1B" w:rsidRPr="004F7E58">
        <w:rPr>
          <w:b/>
          <w:color w:val="C00000"/>
        </w:rPr>
        <w:t xml:space="preserve">po </w:t>
      </w:r>
      <w:proofErr w:type="spellStart"/>
      <w:r w:rsidR="00921F1B" w:rsidRPr="004F7E58">
        <w:rPr>
          <w:b/>
          <w:color w:val="C00000"/>
        </w:rPr>
        <w:t>stubovima</w:t>
      </w:r>
      <w:proofErr w:type="spellEnd"/>
      <w:r w:rsidR="00921F1B" w:rsidRPr="004F7E58">
        <w:rPr>
          <w:b/>
          <w:color w:val="C00000"/>
        </w:rPr>
        <w:t xml:space="preserve"> </w:t>
      </w:r>
      <w:r w:rsidR="000D696C" w:rsidRPr="004F7E58">
        <w:rPr>
          <w:b/>
          <w:color w:val="C00000"/>
        </w:rPr>
        <w:t xml:space="preserve">za </w:t>
      </w:r>
      <w:r w:rsidR="008F4355" w:rsidRPr="004F7E58">
        <w:rPr>
          <w:b/>
          <w:color w:val="C00000"/>
        </w:rPr>
        <w:t>202</w:t>
      </w:r>
      <w:r w:rsidR="00CF5853" w:rsidRPr="004F7E58">
        <w:rPr>
          <w:b/>
          <w:color w:val="C00000"/>
        </w:rPr>
        <w:t>4</w:t>
      </w:r>
      <w:r w:rsidR="00C66E65" w:rsidRPr="004F7E58">
        <w:rPr>
          <w:b/>
          <w:color w:val="C00000"/>
        </w:rPr>
        <w:t>.</w:t>
      </w:r>
      <w:r w:rsidR="000D696C" w:rsidRPr="004F7E58">
        <w:rPr>
          <w:b/>
          <w:color w:val="C00000"/>
        </w:rPr>
        <w:t xml:space="preserve"> </w:t>
      </w:r>
      <w:proofErr w:type="spellStart"/>
      <w:r w:rsidR="00C66E65" w:rsidRPr="004F7E58">
        <w:rPr>
          <w:b/>
          <w:color w:val="C00000"/>
        </w:rPr>
        <w:t>godinu</w:t>
      </w:r>
      <w:bookmarkEnd w:id="5"/>
      <w:proofErr w:type="spellEnd"/>
      <w:r w:rsidR="00C66E65" w:rsidRPr="004F7E58">
        <w:rPr>
          <w:b/>
          <w:color w:val="C00000"/>
        </w:rPr>
        <w:t xml:space="preserve"> </w:t>
      </w:r>
    </w:p>
    <w:p w14:paraId="284713AD" w14:textId="77777777" w:rsidR="00FB22B1" w:rsidRPr="004F7E58" w:rsidRDefault="00FB22B1" w:rsidP="0078617B">
      <w:pPr>
        <w:pStyle w:val="NormalPFM1"/>
        <w:rPr>
          <w:noProof/>
          <w:lang w:val="bs-Latn-BA"/>
        </w:rPr>
      </w:pPr>
    </w:p>
    <w:p w14:paraId="49CA8C6B" w14:textId="046005D6" w:rsidR="005B482B" w:rsidRPr="004F7E58" w:rsidRDefault="00C97686" w:rsidP="004D2EC3">
      <w:pPr>
        <w:pStyle w:val="Heading2"/>
        <w:rPr>
          <w:b/>
          <w:noProof/>
          <w:color w:val="C00000"/>
          <w:sz w:val="32"/>
          <w:lang w:val="bs-Latn-BA"/>
        </w:rPr>
      </w:pPr>
      <w:bookmarkStart w:id="6" w:name="_Toc214450219"/>
      <w:r w:rsidRPr="004F7E58">
        <w:rPr>
          <w:b/>
          <w:noProof/>
          <w:color w:val="C00000"/>
          <w:sz w:val="32"/>
          <w:lang w:val="bs-Latn-BA"/>
        </w:rPr>
        <w:t>4</w:t>
      </w:r>
      <w:r w:rsidR="00227655" w:rsidRPr="004F7E58">
        <w:rPr>
          <w:b/>
          <w:noProof/>
          <w:color w:val="C00000"/>
          <w:sz w:val="32"/>
          <w:lang w:val="bs-Latn-BA"/>
        </w:rPr>
        <w:t>.1</w:t>
      </w:r>
      <w:r w:rsidR="000F135E" w:rsidRPr="004F7E58">
        <w:rPr>
          <w:b/>
          <w:noProof/>
          <w:color w:val="C00000"/>
          <w:sz w:val="32"/>
          <w:lang w:val="bs-Latn-BA"/>
        </w:rPr>
        <w:t>.</w:t>
      </w:r>
      <w:r w:rsidR="005B482B" w:rsidRPr="004F7E58">
        <w:rPr>
          <w:b/>
          <w:noProof/>
          <w:color w:val="C00000"/>
          <w:sz w:val="32"/>
          <w:lang w:val="bs-Latn-BA"/>
        </w:rPr>
        <w:t xml:space="preserve"> </w:t>
      </w:r>
      <w:r w:rsidR="00346A55" w:rsidRPr="004F7E58">
        <w:rPr>
          <w:b/>
          <w:noProof/>
          <w:color w:val="C00000"/>
          <w:sz w:val="32"/>
          <w:lang w:val="bs-Latn-BA"/>
        </w:rPr>
        <w:t>Stub I</w:t>
      </w:r>
      <w:r w:rsidR="008B7276" w:rsidRPr="004F7E58">
        <w:rPr>
          <w:b/>
          <w:noProof/>
          <w:color w:val="C00000"/>
          <w:sz w:val="32"/>
          <w:lang w:val="bs-Latn-BA"/>
        </w:rPr>
        <w:t xml:space="preserve">: </w:t>
      </w:r>
      <w:r w:rsidR="00AA27C7" w:rsidRPr="004F7E58">
        <w:rPr>
          <w:b/>
          <w:noProof/>
          <w:color w:val="C00000"/>
          <w:sz w:val="32"/>
          <w:lang w:val="bs-Latn-BA"/>
        </w:rPr>
        <w:t>FISKALNI OKVIR</w:t>
      </w:r>
      <w:bookmarkEnd w:id="6"/>
    </w:p>
    <w:p w14:paraId="7BD71CF5" w14:textId="77777777" w:rsidR="007744E7" w:rsidRPr="004F7E58" w:rsidRDefault="007744E7" w:rsidP="007744E7">
      <w:pPr>
        <w:rPr>
          <w:lang w:val="bs-Latn-BA"/>
        </w:rPr>
      </w:pPr>
    </w:p>
    <w:p w14:paraId="067EEDB3" w14:textId="793C802A" w:rsidR="007744E7" w:rsidRPr="004F7E58" w:rsidRDefault="00B174D5" w:rsidP="00B72097">
      <w:pPr>
        <w:pStyle w:val="Heading3"/>
        <w:rPr>
          <w:b/>
          <w:color w:val="C00000"/>
          <w:lang w:val="bs-Latn-BA"/>
        </w:rPr>
      </w:pPr>
      <w:bookmarkStart w:id="7" w:name="_Toc214450220"/>
      <w:r w:rsidRPr="004F7E58">
        <w:rPr>
          <w:b/>
          <w:color w:val="C00000"/>
          <w:lang w:val="bs-Latn-BA"/>
        </w:rPr>
        <w:t xml:space="preserve">4.1.1 </w:t>
      </w:r>
      <w:r w:rsidR="007744E7" w:rsidRPr="004F7E58">
        <w:rPr>
          <w:b/>
          <w:color w:val="C00000"/>
          <w:lang w:val="bs-Latn-BA"/>
        </w:rPr>
        <w:t>Cilj stuba</w:t>
      </w:r>
      <w:bookmarkEnd w:id="7"/>
    </w:p>
    <w:p w14:paraId="6623E405" w14:textId="77777777" w:rsidR="007744E7" w:rsidRPr="004F7E58" w:rsidRDefault="007744E7" w:rsidP="007744E7">
      <w:pPr>
        <w:rPr>
          <w:lang w:val="bs-Latn-BA"/>
        </w:rPr>
      </w:pPr>
    </w:p>
    <w:p w14:paraId="364CFBCC" w14:textId="1FE0E7DB" w:rsidR="007744E7" w:rsidRPr="004F7E58" w:rsidRDefault="00166CAD" w:rsidP="00166CAD">
      <w:pPr>
        <w:pStyle w:val="NormalPFM1"/>
        <w:rPr>
          <w:lang w:val="bs-Latn-BA"/>
        </w:rPr>
      </w:pPr>
      <w:r w:rsidRPr="004F7E58">
        <w:rPr>
          <w:lang w:val="bs-Latn-BA"/>
        </w:rPr>
        <w:t>Osiguranje kontinuiranog održavanja javnog duga u odnosu na BDP u okviru kriterija iz Mastrichta i izvještavanje u skladu sa ESA 2010. Stvaranje pouzdanih i predvidljivih srednjoročnih fiskalnih projekcija.</w:t>
      </w:r>
      <w:r w:rsidR="00B951D9" w:rsidRPr="004F7E58">
        <w:rPr>
          <w:lang w:val="bs-Latn-BA"/>
        </w:rPr>
        <w:t xml:space="preserve"> </w:t>
      </w:r>
      <w:r w:rsidRPr="004F7E58">
        <w:rPr>
          <w:lang w:val="bs-Latn-BA"/>
        </w:rPr>
        <w:t>Pojačane fiskalne politike i okviri.</w:t>
      </w:r>
    </w:p>
    <w:p w14:paraId="012822DB" w14:textId="77777777" w:rsidR="00166CAD" w:rsidRPr="004F7E58" w:rsidRDefault="00166CAD" w:rsidP="00166CAD">
      <w:pPr>
        <w:pStyle w:val="NormalPFM1"/>
        <w:rPr>
          <w:noProof/>
          <w:lang w:val="bs-Latn-BA"/>
        </w:rPr>
      </w:pPr>
    </w:p>
    <w:p w14:paraId="6636067C" w14:textId="014A5C39" w:rsidR="00D37B49" w:rsidRPr="004F7E58" w:rsidRDefault="00B174D5" w:rsidP="00B72097">
      <w:pPr>
        <w:pStyle w:val="Heading3"/>
        <w:rPr>
          <w:b/>
          <w:color w:val="C00000"/>
          <w:lang w:val="bs-Latn-BA"/>
        </w:rPr>
      </w:pPr>
      <w:bookmarkStart w:id="8" w:name="_Toc214450221"/>
      <w:r w:rsidRPr="004F7E58">
        <w:rPr>
          <w:b/>
          <w:color w:val="C00000"/>
          <w:lang w:val="bs-Latn-BA"/>
        </w:rPr>
        <w:t xml:space="preserve">4.1.2 </w:t>
      </w:r>
      <w:r w:rsidR="00355E6D" w:rsidRPr="004F7E58">
        <w:rPr>
          <w:b/>
          <w:color w:val="C00000"/>
          <w:lang w:val="bs-Latn-BA"/>
        </w:rPr>
        <w:t>Ostvarenje</w:t>
      </w:r>
      <w:r w:rsidR="00D37B49" w:rsidRPr="004F7E58">
        <w:rPr>
          <w:b/>
          <w:color w:val="C00000"/>
          <w:lang w:val="bs-Latn-BA"/>
        </w:rPr>
        <w:t xml:space="preserve"> rezultata stu</w:t>
      </w:r>
      <w:r w:rsidR="006D26D3" w:rsidRPr="004F7E58">
        <w:rPr>
          <w:b/>
          <w:color w:val="C00000"/>
          <w:lang w:val="bs-Latn-BA"/>
        </w:rPr>
        <w:t>b</w:t>
      </w:r>
      <w:r w:rsidR="00D37B49" w:rsidRPr="004F7E58">
        <w:rPr>
          <w:b/>
          <w:color w:val="C00000"/>
          <w:lang w:val="bs-Latn-BA"/>
        </w:rPr>
        <w:t xml:space="preserve">a </w:t>
      </w:r>
      <w:r w:rsidR="00BD6DC6" w:rsidRPr="004F7E58">
        <w:rPr>
          <w:b/>
          <w:color w:val="C00000"/>
          <w:lang w:val="bs-Latn-BA"/>
        </w:rPr>
        <w:t xml:space="preserve">u </w:t>
      </w:r>
      <w:r w:rsidR="0041695F" w:rsidRPr="004F7E58">
        <w:rPr>
          <w:b/>
          <w:color w:val="C00000"/>
          <w:lang w:val="bs-Latn-BA"/>
        </w:rPr>
        <w:t>202</w:t>
      </w:r>
      <w:r w:rsidR="00CF5853" w:rsidRPr="004F7E58">
        <w:rPr>
          <w:b/>
          <w:color w:val="C00000"/>
          <w:lang w:val="bs-Latn-BA"/>
        </w:rPr>
        <w:t>4</w:t>
      </w:r>
      <w:r w:rsidR="00BD6DC6" w:rsidRPr="004F7E58">
        <w:rPr>
          <w:b/>
          <w:color w:val="C00000"/>
          <w:lang w:val="bs-Latn-BA"/>
        </w:rPr>
        <w:t xml:space="preserve">. </w:t>
      </w:r>
      <w:r w:rsidR="00BA7307" w:rsidRPr="004F7E58">
        <w:rPr>
          <w:b/>
          <w:color w:val="C00000"/>
          <w:lang w:val="bs-Latn-BA"/>
        </w:rPr>
        <w:t>g</w:t>
      </w:r>
      <w:r w:rsidR="00BD6DC6" w:rsidRPr="004F7E58">
        <w:rPr>
          <w:b/>
          <w:color w:val="C00000"/>
          <w:lang w:val="bs-Latn-BA"/>
        </w:rPr>
        <w:t>odini</w:t>
      </w:r>
      <w:bookmarkEnd w:id="8"/>
    </w:p>
    <w:p w14:paraId="247B0C2D" w14:textId="77777777" w:rsidR="002E39AF" w:rsidRPr="004F7E58" w:rsidRDefault="002E39AF" w:rsidP="002E39AF">
      <w:pPr>
        <w:rPr>
          <w:lang w:val="bs-Latn-BA"/>
        </w:rPr>
      </w:pPr>
    </w:p>
    <w:p w14:paraId="5C721B30" w14:textId="104798D6" w:rsidR="002E39AF" w:rsidRPr="004F7E58" w:rsidRDefault="00486A6A" w:rsidP="00911B8E">
      <w:pPr>
        <w:jc w:val="both"/>
        <w:rPr>
          <w:lang w:val="bs-Latn-BA"/>
        </w:rPr>
      </w:pPr>
      <w:r w:rsidRPr="004F7E58">
        <w:rPr>
          <w:noProof/>
          <w:lang w:val="bs-Latn-BA"/>
        </w:rPr>
        <w:t>Ostvaren</w:t>
      </w:r>
      <w:r w:rsidR="00CF5853" w:rsidRPr="004F7E58">
        <w:rPr>
          <w:noProof/>
          <w:lang w:val="bs-Latn-BA"/>
        </w:rPr>
        <w:t xml:space="preserve">e su obje </w:t>
      </w:r>
      <w:r w:rsidRPr="004F7E58">
        <w:rPr>
          <w:noProof/>
          <w:lang w:val="bs-Latn-BA"/>
        </w:rPr>
        <w:t>planiran</w:t>
      </w:r>
      <w:r w:rsidR="00EB61E6" w:rsidRPr="004F7E58">
        <w:rPr>
          <w:noProof/>
          <w:lang w:val="bs-Latn-BA"/>
        </w:rPr>
        <w:t>e</w:t>
      </w:r>
      <w:r w:rsidRPr="004F7E58">
        <w:rPr>
          <w:noProof/>
          <w:lang w:val="bs-Latn-BA"/>
        </w:rPr>
        <w:t xml:space="preserve"> ciljne vrijednosti rezultata stuba za 202</w:t>
      </w:r>
      <w:r w:rsidR="00CF5853" w:rsidRPr="004F7E58">
        <w:rPr>
          <w:noProof/>
          <w:lang w:val="bs-Latn-BA"/>
        </w:rPr>
        <w:t>4</w:t>
      </w:r>
      <w:r w:rsidRPr="004F7E58">
        <w:rPr>
          <w:noProof/>
          <w:lang w:val="bs-Latn-BA"/>
        </w:rPr>
        <w:t xml:space="preserve">. godinu koje se odnose na poboljšano planiranje javnih prihoda i fiskalnu disciplinu unutar FBIH. </w:t>
      </w:r>
    </w:p>
    <w:p w14:paraId="41A3BE87" w14:textId="77777777" w:rsidR="00D37B49" w:rsidRPr="004F7E58" w:rsidRDefault="00D37B49" w:rsidP="00D37B49">
      <w:pPr>
        <w:rPr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535"/>
      </w:tblGrid>
      <w:tr w:rsidR="00E845EC" w:rsidRPr="004F7E58" w14:paraId="775EE305" w14:textId="77777777" w:rsidTr="001B0148">
        <w:trPr>
          <w:trHeight w:val="538"/>
        </w:trPr>
        <w:tc>
          <w:tcPr>
            <w:tcW w:w="5575" w:type="dxa"/>
            <w:vMerge w:val="restart"/>
            <w:vAlign w:val="center"/>
          </w:tcPr>
          <w:p w14:paraId="24714861" w14:textId="25BEFB32" w:rsidR="008A7C27" w:rsidRPr="004F7E58" w:rsidRDefault="001B0148" w:rsidP="00054D9B">
            <w:pPr>
              <w:jc w:val="center"/>
              <w:rPr>
                <w:noProof/>
              </w:rPr>
            </w:pPr>
            <w:r w:rsidRPr="004F7E58">
              <w:rPr>
                <w:noProof/>
              </w:rPr>
              <w:drawing>
                <wp:inline distT="0" distB="0" distL="0" distR="0" wp14:anchorId="18EB87B2" wp14:editId="1EC18179">
                  <wp:extent cx="2472681" cy="3036549"/>
                  <wp:effectExtent l="0" t="0" r="4445" b="12065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0A7671A4" w14:textId="0169CE29" w:rsidR="00E845EC" w:rsidRPr="004F7E58" w:rsidRDefault="00C7502A" w:rsidP="007C428B">
            <w:pPr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Legenda</w:t>
            </w:r>
          </w:p>
        </w:tc>
        <w:tc>
          <w:tcPr>
            <w:tcW w:w="535" w:type="dxa"/>
            <w:vAlign w:val="center"/>
          </w:tcPr>
          <w:p w14:paraId="28F26D7B" w14:textId="220BB1ED" w:rsidR="00E845EC" w:rsidRPr="004F7E58" w:rsidRDefault="00C7502A" w:rsidP="00C7502A">
            <w:pPr>
              <w:jc w:val="center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#</w:t>
            </w:r>
          </w:p>
        </w:tc>
      </w:tr>
      <w:tr w:rsidR="00C7502A" w:rsidRPr="004F7E58" w14:paraId="496647C4" w14:textId="77777777" w:rsidTr="00C7502A">
        <w:trPr>
          <w:trHeight w:val="538"/>
        </w:trPr>
        <w:tc>
          <w:tcPr>
            <w:tcW w:w="5575" w:type="dxa"/>
            <w:vMerge/>
            <w:vAlign w:val="center"/>
          </w:tcPr>
          <w:p w14:paraId="0DB4046D" w14:textId="77777777" w:rsidR="00C7502A" w:rsidRPr="004F7E58" w:rsidRDefault="00C7502A" w:rsidP="00C7502A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4E1A8551" w14:textId="6833F030" w:rsidR="00C7502A" w:rsidRPr="004F7E58" w:rsidRDefault="00C7502A" w:rsidP="00C7502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0000"/>
          </w:tcPr>
          <w:p w14:paraId="6A794559" w14:textId="7B4E0141" w:rsidR="00C7502A" w:rsidRPr="004F7E58" w:rsidRDefault="00C7502A" w:rsidP="00C7502A">
            <w:pPr>
              <w:jc w:val="center"/>
              <w:rPr>
                <w:noProof/>
                <w:sz w:val="18"/>
              </w:rPr>
            </w:pPr>
          </w:p>
        </w:tc>
      </w:tr>
      <w:tr w:rsidR="00C7502A" w:rsidRPr="004F7E58" w14:paraId="70A9BD6B" w14:textId="77777777" w:rsidTr="00C7502A">
        <w:trPr>
          <w:trHeight w:val="538"/>
        </w:trPr>
        <w:tc>
          <w:tcPr>
            <w:tcW w:w="5575" w:type="dxa"/>
            <w:vMerge/>
          </w:tcPr>
          <w:p w14:paraId="4820E1C0" w14:textId="77777777" w:rsidR="00C7502A" w:rsidRPr="004F7E58" w:rsidRDefault="00C7502A" w:rsidP="00C7502A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0236FF8B" w14:textId="63D9BC82" w:rsidR="00C7502A" w:rsidRPr="004F7E58" w:rsidRDefault="00C7502A" w:rsidP="00C7502A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djelomično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E599" w:themeFill="accent4" w:themeFillTint="66"/>
          </w:tcPr>
          <w:p w14:paraId="30816FC6" w14:textId="667DC68D" w:rsidR="00C7502A" w:rsidRPr="004F7E58" w:rsidRDefault="00C7502A" w:rsidP="00C7502A">
            <w:pPr>
              <w:jc w:val="center"/>
              <w:rPr>
                <w:noProof/>
                <w:sz w:val="18"/>
              </w:rPr>
            </w:pPr>
          </w:p>
        </w:tc>
      </w:tr>
      <w:tr w:rsidR="00C7502A" w:rsidRPr="004F7E58" w14:paraId="6D6BE54E" w14:textId="77777777" w:rsidTr="00980D92">
        <w:trPr>
          <w:trHeight w:val="538"/>
        </w:trPr>
        <w:tc>
          <w:tcPr>
            <w:tcW w:w="5575" w:type="dxa"/>
            <w:vMerge/>
          </w:tcPr>
          <w:p w14:paraId="3AD49E71" w14:textId="77777777" w:rsidR="00C7502A" w:rsidRPr="004F7E58" w:rsidRDefault="00C7502A" w:rsidP="00C7502A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6B6395FC" w14:textId="3321A1D1" w:rsidR="00C7502A" w:rsidRPr="004F7E58" w:rsidRDefault="00C7502A" w:rsidP="00C7502A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C5E0B3" w:themeFill="accent6" w:themeFillTint="66"/>
            <w:vAlign w:val="center"/>
          </w:tcPr>
          <w:p w14:paraId="09CF3689" w14:textId="041468ED" w:rsidR="00C7502A" w:rsidRPr="004F7E58" w:rsidRDefault="001B0148" w:rsidP="006B0B9E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2</w:t>
            </w:r>
          </w:p>
        </w:tc>
      </w:tr>
      <w:tr w:rsidR="00C7502A" w:rsidRPr="004F7E58" w14:paraId="50F00259" w14:textId="77777777" w:rsidTr="00C7502A">
        <w:trPr>
          <w:trHeight w:val="538"/>
        </w:trPr>
        <w:tc>
          <w:tcPr>
            <w:tcW w:w="5575" w:type="dxa"/>
            <w:vMerge/>
          </w:tcPr>
          <w:p w14:paraId="5F48E2BC" w14:textId="77777777" w:rsidR="00C7502A" w:rsidRPr="004F7E58" w:rsidRDefault="00C7502A" w:rsidP="00C7502A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6483002A" w14:textId="2C49998E" w:rsidR="00C7502A" w:rsidRPr="004F7E58" w:rsidRDefault="00C7502A" w:rsidP="00C7502A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istekao</w:t>
            </w:r>
            <w:proofErr w:type="spellEnd"/>
          </w:p>
        </w:tc>
        <w:tc>
          <w:tcPr>
            <w:tcW w:w="535" w:type="dxa"/>
            <w:shd w:val="clear" w:color="auto" w:fill="F2F2F2" w:themeFill="background1" w:themeFillShade="F2"/>
          </w:tcPr>
          <w:p w14:paraId="0A2F3AD0" w14:textId="3A35A290" w:rsidR="00C7502A" w:rsidRPr="004F7E58" w:rsidRDefault="00C7502A" w:rsidP="00C7502A">
            <w:pPr>
              <w:jc w:val="center"/>
              <w:rPr>
                <w:noProof/>
                <w:sz w:val="18"/>
              </w:rPr>
            </w:pPr>
          </w:p>
        </w:tc>
      </w:tr>
      <w:tr w:rsidR="00C7502A" w:rsidRPr="004F7E58" w14:paraId="7C471FA2" w14:textId="77777777" w:rsidTr="00C7502A">
        <w:trPr>
          <w:trHeight w:val="538"/>
        </w:trPr>
        <w:tc>
          <w:tcPr>
            <w:tcW w:w="5575" w:type="dxa"/>
            <w:vMerge/>
          </w:tcPr>
          <w:p w14:paraId="2296E06F" w14:textId="77777777" w:rsidR="00C7502A" w:rsidRPr="004F7E58" w:rsidRDefault="00C7502A" w:rsidP="00C7502A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6DEAA597" w14:textId="1E94B321" w:rsidR="00C7502A" w:rsidRPr="004F7E58" w:rsidRDefault="00C7502A" w:rsidP="00C7502A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definirana</w:t>
            </w:r>
            <w:proofErr w:type="spellEnd"/>
          </w:p>
        </w:tc>
        <w:tc>
          <w:tcPr>
            <w:tcW w:w="535" w:type="dxa"/>
            <w:shd w:val="clear" w:color="auto" w:fill="FFCCFF"/>
          </w:tcPr>
          <w:p w14:paraId="112CBC79" w14:textId="0C427E0E" w:rsidR="00C7502A" w:rsidRPr="004F7E58" w:rsidRDefault="00C7502A" w:rsidP="00C7502A">
            <w:pPr>
              <w:jc w:val="center"/>
              <w:rPr>
                <w:noProof/>
                <w:sz w:val="18"/>
              </w:rPr>
            </w:pPr>
          </w:p>
        </w:tc>
      </w:tr>
    </w:tbl>
    <w:p w14:paraId="10F93C06" w14:textId="77777777" w:rsidR="00E845EC" w:rsidRPr="004F7E58" w:rsidRDefault="00E845EC" w:rsidP="00D37B49">
      <w:pPr>
        <w:rPr>
          <w:noProof/>
        </w:rPr>
      </w:pPr>
    </w:p>
    <w:p w14:paraId="41D12812" w14:textId="5DDC28DA" w:rsidR="00D37B49" w:rsidRPr="004F7E58" w:rsidRDefault="00486A6A" w:rsidP="00D37B49">
      <w:pPr>
        <w:rPr>
          <w:noProof/>
          <w:lang w:val="bs-Latn-BA"/>
        </w:rPr>
      </w:pPr>
      <w:r w:rsidRPr="004F7E58">
        <w:rPr>
          <w:lang w:val="bs-Latn-BA"/>
        </w:rPr>
        <w:t xml:space="preserve">Planirana razlika između projekcije i izvršenih javnih prihoda od </w:t>
      </w:r>
      <w:r w:rsidR="00E550D0" w:rsidRPr="004F7E58">
        <w:rPr>
          <w:lang w:val="bs-Latn-BA"/>
        </w:rPr>
        <w:t>1</w:t>
      </w:r>
      <w:r w:rsidRPr="004F7E58">
        <w:rPr>
          <w:lang w:val="bs-Latn-BA"/>
        </w:rPr>
        <w:t>% u 202</w:t>
      </w:r>
      <w:r w:rsidR="00CF5853" w:rsidRPr="004F7E58">
        <w:rPr>
          <w:lang w:val="bs-Latn-BA"/>
        </w:rPr>
        <w:t>4</w:t>
      </w:r>
      <w:r w:rsidRPr="004F7E58">
        <w:rPr>
          <w:lang w:val="bs-Latn-BA"/>
        </w:rPr>
        <w:t xml:space="preserve">. godini </w:t>
      </w:r>
      <w:r w:rsidR="008A55E8" w:rsidRPr="004F7E58">
        <w:rPr>
          <w:lang w:val="bs-Latn-BA"/>
        </w:rPr>
        <w:t>je</w:t>
      </w:r>
      <w:r w:rsidRPr="004F7E58">
        <w:rPr>
          <w:lang w:val="bs-Latn-BA"/>
        </w:rPr>
        <w:t xml:space="preserve"> postignuta</w:t>
      </w:r>
      <w:r w:rsidR="008A55E8" w:rsidRPr="004F7E58">
        <w:rPr>
          <w:lang w:val="bs-Latn-BA"/>
        </w:rPr>
        <w:t>, odstupanje je iznosilo 0.05%,</w:t>
      </w:r>
      <w:r w:rsidRPr="004F7E58">
        <w:rPr>
          <w:lang w:val="bs-Latn-BA"/>
        </w:rPr>
        <w:t xml:space="preserve"> dok ukupan nivo duga u FBiH nije prešao utvrđenu granicu od 60%.</w:t>
      </w:r>
      <w:r w:rsidR="001B0148" w:rsidRPr="004F7E58">
        <w:t xml:space="preserve"> </w:t>
      </w:r>
      <w:r w:rsidR="001B0148" w:rsidRPr="004F7E58">
        <w:rPr>
          <w:lang w:val="bs-Latn-BA"/>
        </w:rPr>
        <w:t xml:space="preserve">Javni dug sa 31.12.2024. iznosio je 20,51% BDP.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3065"/>
        <w:gridCol w:w="2016"/>
        <w:gridCol w:w="2323"/>
      </w:tblGrid>
      <w:tr w:rsidR="00423F06" w:rsidRPr="004F7E58" w14:paraId="4999CFC4" w14:textId="77777777" w:rsidTr="00423F06">
        <w:tc>
          <w:tcPr>
            <w:tcW w:w="1946" w:type="dxa"/>
            <w:shd w:val="clear" w:color="auto" w:fill="D9E2F3" w:themeFill="accent5" w:themeFillTint="33"/>
          </w:tcPr>
          <w:p w14:paraId="0FFB0B04" w14:textId="63DF993B" w:rsidR="00423F06" w:rsidRPr="004F7E58" w:rsidRDefault="00423F06" w:rsidP="00010823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lastRenderedPageBreak/>
              <w:t>Rezultat</w:t>
            </w:r>
          </w:p>
        </w:tc>
        <w:tc>
          <w:tcPr>
            <w:tcW w:w="3065" w:type="dxa"/>
            <w:shd w:val="clear" w:color="auto" w:fill="D9E2F3" w:themeFill="accent5" w:themeFillTint="33"/>
          </w:tcPr>
          <w:p w14:paraId="2CE24F14" w14:textId="77777777" w:rsidR="00423F06" w:rsidRPr="004F7E58" w:rsidRDefault="00423F06" w:rsidP="00010823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Indikator</w:t>
            </w:r>
          </w:p>
        </w:tc>
        <w:tc>
          <w:tcPr>
            <w:tcW w:w="2016" w:type="dxa"/>
            <w:shd w:val="clear" w:color="auto" w:fill="D9E2F3" w:themeFill="accent5" w:themeFillTint="33"/>
          </w:tcPr>
          <w:p w14:paraId="3EFE2CB8" w14:textId="76A59024" w:rsidR="00423F06" w:rsidRPr="004F7E58" w:rsidRDefault="00423F06" w:rsidP="00010823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Ciljna vrijednost u 202</w:t>
            </w:r>
            <w:r w:rsidR="00375E3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  <w:tc>
          <w:tcPr>
            <w:tcW w:w="2323" w:type="dxa"/>
            <w:shd w:val="clear" w:color="auto" w:fill="D9E2F3" w:themeFill="accent5" w:themeFillTint="33"/>
          </w:tcPr>
          <w:p w14:paraId="09B04027" w14:textId="005739C2" w:rsidR="00423F06" w:rsidRPr="004F7E58" w:rsidRDefault="00423F06" w:rsidP="00010823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Ostvarenje u 202</w:t>
            </w:r>
            <w:r w:rsidR="00375E3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CF5853" w:rsidRPr="004F7E58" w14:paraId="0A8053DC" w14:textId="77777777" w:rsidTr="00CF5853">
        <w:tc>
          <w:tcPr>
            <w:tcW w:w="1946" w:type="dxa"/>
            <w:tcBorders>
              <w:bottom w:val="single" w:sz="4" w:space="0" w:color="auto"/>
            </w:tcBorders>
          </w:tcPr>
          <w:p w14:paraId="2CC46F01" w14:textId="6B2B53D2" w:rsidR="00CF5853" w:rsidRPr="004F7E58" w:rsidRDefault="00CF5853" w:rsidP="00CF5853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I.A Poboljšano planiranje prihoda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06E33E9A" w14:textId="0ECFF1CF" w:rsidR="00CF5853" w:rsidRPr="004F7E58" w:rsidRDefault="00CF5853" w:rsidP="00CF5853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I.A.a Smanjena razlika između projekcije i izvršenja prihoda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5899A2C" w14:textId="1CC0A338" w:rsidR="00CF5853" w:rsidRPr="004F7E58" w:rsidRDefault="00CF5853" w:rsidP="00CF5853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1%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E684C5" w14:textId="04DFE669" w:rsidR="00CF5853" w:rsidRPr="004F7E58" w:rsidRDefault="00CF5853" w:rsidP="00CF5853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</w:tr>
      <w:tr w:rsidR="00BB1BA9" w:rsidRPr="004F7E58" w14:paraId="4C71BBDB" w14:textId="77777777" w:rsidTr="00423F06">
        <w:tc>
          <w:tcPr>
            <w:tcW w:w="1946" w:type="dxa"/>
            <w:tcBorders>
              <w:bottom w:val="single" w:sz="4" w:space="0" w:color="auto"/>
            </w:tcBorders>
          </w:tcPr>
          <w:p w14:paraId="3B0C05F1" w14:textId="128725C8" w:rsidR="00BB1BA9" w:rsidRPr="004F7E58" w:rsidRDefault="00BB1BA9" w:rsidP="00BB1BA9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I.B Usvajaju se ili poboljšavaju fiskalna pravila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574CD0A1" w14:textId="7E2399B4" w:rsidR="00BB1BA9" w:rsidRPr="004F7E58" w:rsidRDefault="00BB1BA9" w:rsidP="00BB1BA9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I.B.a Nivo duga ne prelazi utvrđene granice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38ECA7C6" w14:textId="40B9FC41" w:rsidR="00BB1BA9" w:rsidRPr="004F7E58" w:rsidRDefault="00BB1BA9" w:rsidP="00025EF6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Javni dug ne prelazi 60% </w:t>
            </w:r>
            <w:r w:rsidR="00025EF6" w:rsidRPr="004F7E58">
              <w:rPr>
                <w:noProof/>
                <w:lang w:val="bs-Latn-BA"/>
              </w:rPr>
              <w:t>BDP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ED375C" w14:textId="21FFEDBD" w:rsidR="00BB1BA9" w:rsidRPr="004F7E58" w:rsidRDefault="00BB1BA9" w:rsidP="00980D92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</w:tr>
      <w:tr w:rsidR="00BB1BA9" w:rsidRPr="004F7E58" w14:paraId="320D9551" w14:textId="77777777" w:rsidTr="00732318"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8B1FD" w14:textId="77777777" w:rsidR="00BB1BA9" w:rsidRPr="004F7E58" w:rsidRDefault="00BB1BA9" w:rsidP="00BB1BA9">
            <w:pPr>
              <w:pStyle w:val="NormalPFM1"/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281E3" w14:textId="2BFC8654" w:rsidR="00BB1BA9" w:rsidRPr="004F7E58" w:rsidRDefault="00BB1BA9" w:rsidP="006B579B">
            <w:pPr>
              <w:pStyle w:val="NormalPFM1"/>
              <w:rPr>
                <w:noProof/>
                <w:lang w:val="fr-FR"/>
              </w:rPr>
            </w:pPr>
          </w:p>
        </w:tc>
      </w:tr>
    </w:tbl>
    <w:p w14:paraId="2A684CE0" w14:textId="77777777" w:rsidR="00D37B49" w:rsidRPr="004F7E58" w:rsidRDefault="00D37B49" w:rsidP="00A72E1F">
      <w:pPr>
        <w:rPr>
          <w:lang w:val="bs-Latn-BA"/>
        </w:rPr>
      </w:pPr>
    </w:p>
    <w:p w14:paraId="27E1DCCD" w14:textId="551D1F46" w:rsidR="00317457" w:rsidRPr="004F7E58" w:rsidRDefault="00731B86" w:rsidP="00980D92">
      <w:pPr>
        <w:pStyle w:val="Heading3"/>
        <w:rPr>
          <w:b/>
          <w:color w:val="C00000"/>
          <w:lang w:val="bs-Latn-BA"/>
        </w:rPr>
      </w:pPr>
      <w:bookmarkStart w:id="9" w:name="_Toc214450222"/>
      <w:r w:rsidRPr="004F7E58">
        <w:rPr>
          <w:b/>
          <w:color w:val="C00000"/>
          <w:lang w:val="bs-Latn-BA"/>
        </w:rPr>
        <w:t xml:space="preserve">4.1.3 </w:t>
      </w:r>
      <w:bookmarkStart w:id="10" w:name="_Toc109292567"/>
      <w:r w:rsidR="006D26D3" w:rsidRPr="004F7E58">
        <w:rPr>
          <w:b/>
          <w:color w:val="C00000"/>
          <w:lang w:val="bs-Latn-BA"/>
        </w:rPr>
        <w:t>Statistički pregled statusa aktivnosti</w:t>
      </w:r>
      <w:r w:rsidR="006D26D3" w:rsidRPr="004F7E58" w:rsidDel="00160F36">
        <w:rPr>
          <w:b/>
          <w:color w:val="C00000"/>
          <w:lang w:val="bs-Latn-BA"/>
        </w:rPr>
        <w:t xml:space="preserve"> </w:t>
      </w:r>
      <w:r w:rsidR="006D26D3" w:rsidRPr="004F7E58">
        <w:rPr>
          <w:b/>
          <w:color w:val="C00000"/>
          <w:lang w:val="bs-Latn-BA"/>
        </w:rPr>
        <w:t>i rezultata mjere</w:t>
      </w:r>
      <w:bookmarkEnd w:id="9"/>
      <w:bookmarkEnd w:id="10"/>
    </w:p>
    <w:p w14:paraId="1EE07A91" w14:textId="77777777" w:rsidR="00317457" w:rsidRPr="004F7E58" w:rsidRDefault="00317457" w:rsidP="00317457">
      <w:pPr>
        <w:pStyle w:val="NormalPFM1"/>
        <w:rPr>
          <w:noProof/>
          <w:lang w:val="en-US" w:eastAsia="en-U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62"/>
        <w:gridCol w:w="3402"/>
        <w:gridCol w:w="355"/>
        <w:gridCol w:w="356"/>
        <w:gridCol w:w="3825"/>
        <w:gridCol w:w="425"/>
        <w:gridCol w:w="425"/>
      </w:tblGrid>
      <w:tr w:rsidR="00317457" w:rsidRPr="004F7E58" w14:paraId="0A468907" w14:textId="77777777" w:rsidTr="00980D92">
        <w:trPr>
          <w:trHeight w:val="20"/>
        </w:trPr>
        <w:tc>
          <w:tcPr>
            <w:tcW w:w="562" w:type="dxa"/>
          </w:tcPr>
          <w:p w14:paraId="24CADB34" w14:textId="77777777" w:rsidR="00317457" w:rsidRPr="004F7E58" w:rsidRDefault="00317457" w:rsidP="00142DD1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I.1</w:t>
            </w:r>
          </w:p>
        </w:tc>
        <w:tc>
          <w:tcPr>
            <w:tcW w:w="8788" w:type="dxa"/>
            <w:gridSpan w:val="6"/>
          </w:tcPr>
          <w:p w14:paraId="15481B28" w14:textId="59A89A53" w:rsidR="00317457" w:rsidRPr="004F7E58" w:rsidRDefault="00DB277F" w:rsidP="00142DD1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Formuliranje, usvajanje i primjena fiskalnih pravila</w:t>
            </w:r>
          </w:p>
        </w:tc>
      </w:tr>
      <w:tr w:rsidR="00317457" w:rsidRPr="004F7E58" w14:paraId="6BE2D655" w14:textId="77777777" w:rsidTr="00980D92">
        <w:trPr>
          <w:trHeight w:val="20"/>
        </w:trPr>
        <w:tc>
          <w:tcPr>
            <w:tcW w:w="562" w:type="dxa"/>
          </w:tcPr>
          <w:p w14:paraId="4F038D8F" w14:textId="77777777" w:rsidR="00317457" w:rsidRPr="004F7E58" w:rsidRDefault="00317457" w:rsidP="00142DD1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I.2</w:t>
            </w:r>
          </w:p>
        </w:tc>
        <w:tc>
          <w:tcPr>
            <w:tcW w:w="8788" w:type="dxa"/>
            <w:gridSpan w:val="6"/>
          </w:tcPr>
          <w:p w14:paraId="565A93BE" w14:textId="4CF892DF" w:rsidR="00317457" w:rsidRPr="004F7E58" w:rsidRDefault="00AF6E78" w:rsidP="00142DD1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Unaprjeđenje projekcije prihoda i rashoda za pripremu DOB-a i budžeta u FBiH</w:t>
            </w:r>
          </w:p>
        </w:tc>
      </w:tr>
      <w:tr w:rsidR="00317457" w:rsidRPr="004F7E58" w14:paraId="054351CA" w14:textId="77777777" w:rsidTr="00980D92">
        <w:trPr>
          <w:trHeight w:val="20"/>
        </w:trPr>
        <w:tc>
          <w:tcPr>
            <w:tcW w:w="562" w:type="dxa"/>
          </w:tcPr>
          <w:p w14:paraId="784573CF" w14:textId="77777777" w:rsidR="00317457" w:rsidRPr="004F7E58" w:rsidRDefault="00317457" w:rsidP="00142DD1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I.3</w:t>
            </w:r>
          </w:p>
        </w:tc>
        <w:tc>
          <w:tcPr>
            <w:tcW w:w="8788" w:type="dxa"/>
            <w:gridSpan w:val="6"/>
          </w:tcPr>
          <w:p w14:paraId="1B78D2FF" w14:textId="7C3EB27E" w:rsidR="00317457" w:rsidRPr="004F7E58" w:rsidRDefault="008D468D" w:rsidP="00142DD1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Fiskalna koordinacija, konsolidacija i izvještavanje (Jačanje finansija nižih nivoa vlasti)</w:t>
            </w:r>
          </w:p>
        </w:tc>
      </w:tr>
      <w:tr w:rsidR="00317457" w:rsidRPr="004F7E58" w14:paraId="5B26F877" w14:textId="77777777" w:rsidTr="00980D92">
        <w:trPr>
          <w:trHeight w:val="20"/>
        </w:trPr>
        <w:tc>
          <w:tcPr>
            <w:tcW w:w="562" w:type="dxa"/>
          </w:tcPr>
          <w:p w14:paraId="02A55AFF" w14:textId="77777777" w:rsidR="00317457" w:rsidRPr="004F7E58" w:rsidRDefault="00317457" w:rsidP="00142DD1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I.4</w:t>
            </w:r>
          </w:p>
        </w:tc>
        <w:tc>
          <w:tcPr>
            <w:tcW w:w="8788" w:type="dxa"/>
            <w:gridSpan w:val="6"/>
          </w:tcPr>
          <w:p w14:paraId="1CA0AD59" w14:textId="5FAB2B79" w:rsidR="00317457" w:rsidRPr="004F7E58" w:rsidRDefault="00845EFA" w:rsidP="00142DD1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Nadzor nad javnim preduzećima</w:t>
            </w:r>
          </w:p>
        </w:tc>
      </w:tr>
      <w:tr w:rsidR="00317457" w:rsidRPr="004F7E58" w14:paraId="61307719" w14:textId="77777777" w:rsidTr="00980D92">
        <w:tc>
          <w:tcPr>
            <w:tcW w:w="9350" w:type="dxa"/>
            <w:gridSpan w:val="7"/>
          </w:tcPr>
          <w:p w14:paraId="0116C281" w14:textId="36205573" w:rsidR="00317457" w:rsidRPr="004F7E58" w:rsidRDefault="004D3F76">
            <w:pPr>
              <w:pStyle w:val="NormalPFM1"/>
              <w:rPr>
                <w:strike/>
                <w:noProof/>
                <w:lang w:val="bs-Latn-BA"/>
              </w:rPr>
            </w:pPr>
            <w:r w:rsidRPr="004F7E58">
              <w:t xml:space="preserve">Od </w:t>
            </w:r>
            <w:proofErr w:type="spellStart"/>
            <w:r w:rsidRPr="004F7E58">
              <w:t>ukupno</w:t>
            </w:r>
            <w:proofErr w:type="spellEnd"/>
            <w:r w:rsidRPr="004F7E58">
              <w:t xml:space="preserve"> 8 </w:t>
            </w:r>
            <w:proofErr w:type="spellStart"/>
            <w:r w:rsidRPr="004F7E58">
              <w:t>aktivnosti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unutar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ovog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stuba</w:t>
            </w:r>
            <w:proofErr w:type="spellEnd"/>
            <w:r w:rsidRPr="004F7E58">
              <w:t xml:space="preserve">, </w:t>
            </w:r>
            <w:proofErr w:type="spellStart"/>
            <w:r w:rsidR="00794544" w:rsidRPr="004F7E58">
              <w:t>dvije</w:t>
            </w:r>
            <w:proofErr w:type="spellEnd"/>
            <w:r w:rsidR="00794544" w:rsidRPr="004F7E58">
              <w:t xml:space="preserve"> </w:t>
            </w:r>
            <w:proofErr w:type="spellStart"/>
            <w:r w:rsidR="00794544" w:rsidRPr="004F7E58">
              <w:t>su</w:t>
            </w:r>
            <w:proofErr w:type="spellEnd"/>
            <w:r w:rsidR="00794544" w:rsidRPr="004F7E58">
              <w:t xml:space="preserve"> </w:t>
            </w:r>
            <w:proofErr w:type="spellStart"/>
            <w:r w:rsidR="00794544" w:rsidRPr="004F7E58">
              <w:t>završene</w:t>
            </w:r>
            <w:proofErr w:type="spellEnd"/>
            <w:r w:rsidR="00D00095" w:rsidRPr="004F7E58">
              <w:t xml:space="preserve"> </w:t>
            </w:r>
            <w:r w:rsidR="00794544" w:rsidRPr="004F7E58">
              <w:t xml:space="preserve">u </w:t>
            </w:r>
            <w:proofErr w:type="spellStart"/>
            <w:r w:rsidR="00794544" w:rsidRPr="004F7E58">
              <w:t>prethodnom</w:t>
            </w:r>
            <w:proofErr w:type="spellEnd"/>
            <w:r w:rsidR="00794544" w:rsidRPr="004F7E58">
              <w:t xml:space="preserve"> </w:t>
            </w:r>
            <w:proofErr w:type="spellStart"/>
            <w:r w:rsidR="00794544" w:rsidRPr="004F7E58">
              <w:t>period</w:t>
            </w:r>
            <w:r w:rsidR="00CB5438" w:rsidRPr="004F7E58">
              <w:t>u</w:t>
            </w:r>
            <w:proofErr w:type="spellEnd"/>
            <w:r w:rsidR="0013452D" w:rsidRPr="004F7E58">
              <w:t>.</w:t>
            </w:r>
            <w:r w:rsidR="00794544" w:rsidRPr="004F7E58">
              <w:t xml:space="preserve"> </w:t>
            </w:r>
            <w:proofErr w:type="spellStart"/>
            <w:r w:rsidR="00D00095" w:rsidRPr="004F7E58">
              <w:rPr>
                <w:lang w:val="fr-FR"/>
              </w:rPr>
              <w:t>Jedna</w:t>
            </w:r>
            <w:proofErr w:type="spellEnd"/>
            <w:r w:rsidR="00D00095" w:rsidRPr="004F7E58">
              <w:rPr>
                <w:lang w:val="fr-FR"/>
              </w:rPr>
              <w:t xml:space="preserve"> </w:t>
            </w:r>
            <w:proofErr w:type="spellStart"/>
            <w:r w:rsidR="00794544" w:rsidRPr="004F7E58">
              <w:rPr>
                <w:lang w:val="fr-FR"/>
              </w:rPr>
              <w:t>aktivnost</w:t>
            </w:r>
            <w:proofErr w:type="spellEnd"/>
            <w:r w:rsidR="00794544" w:rsidRPr="004F7E58">
              <w:rPr>
                <w:lang w:val="fr-FR"/>
              </w:rPr>
              <w:t xml:space="preserve"> </w:t>
            </w:r>
            <w:proofErr w:type="spellStart"/>
            <w:r w:rsidR="00D00095" w:rsidRPr="004F7E58">
              <w:rPr>
                <w:lang w:val="fr-FR"/>
              </w:rPr>
              <w:t>nije</w:t>
            </w:r>
            <w:proofErr w:type="spellEnd"/>
            <w:r w:rsidR="00D00095" w:rsidRPr="004F7E58">
              <w:rPr>
                <w:lang w:val="fr-FR"/>
              </w:rPr>
              <w:t xml:space="preserve"> </w:t>
            </w:r>
            <w:proofErr w:type="spellStart"/>
            <w:r w:rsidR="00794544" w:rsidRPr="004F7E58">
              <w:rPr>
                <w:lang w:val="fr-FR"/>
              </w:rPr>
              <w:t>započet</w:t>
            </w:r>
            <w:r w:rsidR="00D00095" w:rsidRPr="004F7E58">
              <w:rPr>
                <w:lang w:val="fr-FR"/>
              </w:rPr>
              <w:t>a</w:t>
            </w:r>
            <w:proofErr w:type="spellEnd"/>
            <w:r w:rsidR="00794544" w:rsidRPr="004F7E58">
              <w:rPr>
                <w:lang w:val="fr-FR"/>
              </w:rPr>
              <w:t xml:space="preserve"> po </w:t>
            </w:r>
            <w:proofErr w:type="spellStart"/>
            <w:r w:rsidR="00794544" w:rsidRPr="004F7E58">
              <w:rPr>
                <w:lang w:val="fr-FR"/>
              </w:rPr>
              <w:t>planu</w:t>
            </w:r>
            <w:proofErr w:type="spellEnd"/>
            <w:r w:rsidR="00794544" w:rsidRPr="004F7E58">
              <w:rPr>
                <w:lang w:val="fr-FR"/>
              </w:rPr>
              <w:t xml:space="preserve">, </w:t>
            </w:r>
            <w:proofErr w:type="spellStart"/>
            <w:r w:rsidR="00794544" w:rsidRPr="004F7E58">
              <w:rPr>
                <w:lang w:val="fr-FR"/>
              </w:rPr>
              <w:t>jedna</w:t>
            </w:r>
            <w:proofErr w:type="spellEnd"/>
            <w:r w:rsidR="00794544" w:rsidRPr="004F7E58">
              <w:rPr>
                <w:lang w:val="fr-FR"/>
              </w:rPr>
              <w:t xml:space="preserve"> je u </w:t>
            </w:r>
            <w:proofErr w:type="spellStart"/>
            <w:r w:rsidR="00794544" w:rsidRPr="004F7E58">
              <w:rPr>
                <w:lang w:val="fr-FR"/>
              </w:rPr>
              <w:t>toku</w:t>
            </w:r>
            <w:proofErr w:type="spellEnd"/>
            <w:r w:rsidR="00794544" w:rsidRPr="004F7E58">
              <w:rPr>
                <w:lang w:val="fr-FR"/>
              </w:rPr>
              <w:t xml:space="preserve">, a </w:t>
            </w:r>
            <w:proofErr w:type="spellStart"/>
            <w:r w:rsidR="00D00095" w:rsidRPr="004F7E58">
              <w:rPr>
                <w:lang w:val="fr-FR"/>
              </w:rPr>
              <w:t>četiri</w:t>
            </w:r>
            <w:proofErr w:type="spellEnd"/>
            <w:r w:rsidR="00D00095" w:rsidRPr="004F7E58">
              <w:rPr>
                <w:lang w:val="fr-FR"/>
              </w:rPr>
              <w:t xml:space="preserve"> </w:t>
            </w:r>
            <w:r w:rsidR="00794544" w:rsidRPr="004F7E58">
              <w:rPr>
                <w:lang w:val="fr-FR"/>
              </w:rPr>
              <w:t xml:space="preserve">su </w:t>
            </w:r>
            <w:proofErr w:type="spellStart"/>
            <w:r w:rsidR="00794544" w:rsidRPr="004F7E58">
              <w:rPr>
                <w:lang w:val="fr-FR"/>
              </w:rPr>
              <w:t>planirane</w:t>
            </w:r>
            <w:proofErr w:type="spellEnd"/>
            <w:r w:rsidR="00794544" w:rsidRPr="004F7E58">
              <w:rPr>
                <w:lang w:val="fr-FR"/>
              </w:rPr>
              <w:t xml:space="preserve"> </w:t>
            </w:r>
            <w:proofErr w:type="spellStart"/>
            <w:r w:rsidR="00794544" w:rsidRPr="004F7E58">
              <w:rPr>
                <w:lang w:val="fr-FR"/>
              </w:rPr>
              <w:t>za</w:t>
            </w:r>
            <w:proofErr w:type="spellEnd"/>
            <w:r w:rsidR="00794544" w:rsidRPr="004F7E58">
              <w:rPr>
                <w:lang w:val="fr-FR"/>
              </w:rPr>
              <w:t xml:space="preserve"> 2025</w:t>
            </w:r>
            <w:r w:rsidRPr="004F7E58">
              <w:rPr>
                <w:lang w:val="fr-FR"/>
              </w:rPr>
              <w:t xml:space="preserve">. </w:t>
            </w:r>
            <w:proofErr w:type="spellStart"/>
            <w:r w:rsidR="00501C3B" w:rsidRPr="004F7E58">
              <w:rPr>
                <w:lang w:val="fr-FR"/>
              </w:rPr>
              <w:t>Realizacija</w:t>
            </w:r>
            <w:proofErr w:type="spellEnd"/>
            <w:r w:rsidR="00501C3B" w:rsidRPr="004F7E58">
              <w:rPr>
                <w:lang w:val="fr-FR"/>
              </w:rPr>
              <w:t xml:space="preserve"> </w:t>
            </w:r>
            <w:proofErr w:type="spellStart"/>
            <w:r w:rsidR="00501C3B" w:rsidRPr="004F7E58">
              <w:rPr>
                <w:lang w:val="fr-FR"/>
              </w:rPr>
              <w:t>rezultata</w:t>
            </w:r>
            <w:proofErr w:type="spellEnd"/>
            <w:r w:rsidR="00501C3B" w:rsidRPr="004F7E58">
              <w:rPr>
                <w:lang w:val="fr-FR"/>
              </w:rPr>
              <w:t xml:space="preserve"> </w:t>
            </w:r>
            <w:proofErr w:type="spellStart"/>
            <w:r w:rsidR="00501C3B" w:rsidRPr="004F7E58">
              <w:rPr>
                <w:lang w:val="fr-FR"/>
              </w:rPr>
              <w:t>mjere</w:t>
            </w:r>
            <w:proofErr w:type="spellEnd"/>
            <w:r w:rsidR="00501C3B" w:rsidRPr="004F7E58">
              <w:rPr>
                <w:lang w:val="fr-FR"/>
              </w:rPr>
              <w:t xml:space="preserve">, </w:t>
            </w:r>
            <w:proofErr w:type="spellStart"/>
            <w:r w:rsidR="00142DD1" w:rsidRPr="004F7E58">
              <w:rPr>
                <w:lang w:val="fr-FR"/>
              </w:rPr>
              <w:t>vezanih</w:t>
            </w:r>
            <w:proofErr w:type="spellEnd"/>
            <w:r w:rsidR="00142DD1" w:rsidRPr="004F7E58">
              <w:rPr>
                <w:lang w:val="fr-FR"/>
              </w:rPr>
              <w:t xml:space="preserve"> na </w:t>
            </w:r>
            <w:proofErr w:type="spellStart"/>
            <w:r w:rsidR="00142DD1" w:rsidRPr="004F7E58">
              <w:rPr>
                <w:lang w:val="fr-FR"/>
              </w:rPr>
              <w:t>svaku</w:t>
            </w:r>
            <w:proofErr w:type="spellEnd"/>
            <w:r w:rsidR="00501C3B" w:rsidRPr="004F7E58">
              <w:rPr>
                <w:lang w:val="fr-FR"/>
              </w:rPr>
              <w:t xml:space="preserve"> </w:t>
            </w:r>
            <w:proofErr w:type="spellStart"/>
            <w:r w:rsidR="00501C3B" w:rsidRPr="004F7E58">
              <w:rPr>
                <w:lang w:val="fr-FR"/>
              </w:rPr>
              <w:t>aktivnost</w:t>
            </w:r>
            <w:proofErr w:type="spellEnd"/>
            <w:r w:rsidR="00501C3B" w:rsidRPr="004F7E58">
              <w:rPr>
                <w:lang w:val="fr-FR"/>
              </w:rPr>
              <w:t xml:space="preserve">, </w:t>
            </w:r>
            <w:proofErr w:type="spellStart"/>
            <w:r w:rsidR="00142DD1" w:rsidRPr="004F7E58">
              <w:rPr>
                <w:lang w:val="fr-FR"/>
              </w:rPr>
              <w:t>pokazuje</w:t>
            </w:r>
            <w:proofErr w:type="spellEnd"/>
            <w:r w:rsidR="00142DD1" w:rsidRPr="004F7E58">
              <w:rPr>
                <w:lang w:val="fr-FR"/>
              </w:rPr>
              <w:t xml:space="preserve"> da </w:t>
            </w:r>
            <w:r w:rsidR="00794544" w:rsidRPr="004F7E58">
              <w:rPr>
                <w:lang w:val="fr-FR"/>
              </w:rPr>
              <w:t xml:space="preserve">je </w:t>
            </w:r>
            <w:proofErr w:type="spellStart"/>
            <w:r w:rsidR="00142DD1" w:rsidRPr="004F7E58">
              <w:rPr>
                <w:lang w:val="fr-FR"/>
              </w:rPr>
              <w:t>djelomično</w:t>
            </w:r>
            <w:proofErr w:type="spellEnd"/>
            <w:r w:rsidR="00142DD1" w:rsidRPr="004F7E58">
              <w:rPr>
                <w:lang w:val="fr-FR"/>
              </w:rPr>
              <w:t xml:space="preserve"> </w:t>
            </w:r>
            <w:proofErr w:type="spellStart"/>
            <w:r w:rsidR="00142DD1" w:rsidRPr="004F7E58">
              <w:rPr>
                <w:lang w:val="fr-FR"/>
              </w:rPr>
              <w:t>ostvaren</w:t>
            </w:r>
            <w:proofErr w:type="spellEnd"/>
            <w:r w:rsidR="00142DD1" w:rsidRPr="004F7E58">
              <w:rPr>
                <w:lang w:val="fr-FR"/>
              </w:rPr>
              <w:t xml:space="preserve"> </w:t>
            </w:r>
            <w:proofErr w:type="spellStart"/>
            <w:r w:rsidR="00794544" w:rsidRPr="004F7E58">
              <w:rPr>
                <w:lang w:val="fr-FR"/>
              </w:rPr>
              <w:t>jedan</w:t>
            </w:r>
            <w:proofErr w:type="spellEnd"/>
            <w:r w:rsidR="00142DD1" w:rsidRPr="004F7E58">
              <w:rPr>
                <w:lang w:val="fr-FR"/>
              </w:rPr>
              <w:t xml:space="preserve"> </w:t>
            </w:r>
            <w:proofErr w:type="spellStart"/>
            <w:r w:rsidR="00142DD1" w:rsidRPr="004F7E58">
              <w:rPr>
                <w:lang w:val="fr-FR"/>
              </w:rPr>
              <w:t>rezultat</w:t>
            </w:r>
            <w:r w:rsidR="00980D92" w:rsidRPr="004F7E58">
              <w:rPr>
                <w:lang w:val="fr-FR"/>
              </w:rPr>
              <w:t>a</w:t>
            </w:r>
            <w:proofErr w:type="spellEnd"/>
            <w:r w:rsidR="00142DD1" w:rsidRPr="004F7E58">
              <w:rPr>
                <w:lang w:val="fr-FR"/>
              </w:rPr>
              <w:t xml:space="preserve"> </w:t>
            </w:r>
            <w:proofErr w:type="spellStart"/>
            <w:r w:rsidR="00142DD1" w:rsidRPr="004F7E58">
              <w:rPr>
                <w:lang w:val="fr-FR"/>
              </w:rPr>
              <w:t>mjere</w:t>
            </w:r>
            <w:proofErr w:type="spellEnd"/>
            <w:r w:rsidR="001D4A31" w:rsidRPr="004F7E58">
              <w:rPr>
                <w:lang w:val="fr-FR"/>
              </w:rPr>
              <w:t>,</w:t>
            </w:r>
            <w:r w:rsidR="00794544" w:rsidRPr="004F7E58">
              <w:rPr>
                <w:lang w:val="fr-FR"/>
              </w:rPr>
              <w:t xml:space="preserve"> </w:t>
            </w:r>
            <w:proofErr w:type="spellStart"/>
            <w:r w:rsidR="00794544" w:rsidRPr="004F7E58">
              <w:rPr>
                <w:lang w:val="fr-FR"/>
              </w:rPr>
              <w:t>dva</w:t>
            </w:r>
            <w:proofErr w:type="spellEnd"/>
            <w:r w:rsidR="00794544" w:rsidRPr="004F7E58">
              <w:rPr>
                <w:lang w:val="fr-FR"/>
              </w:rPr>
              <w:t xml:space="preserve"> su </w:t>
            </w:r>
            <w:proofErr w:type="spellStart"/>
            <w:r w:rsidR="00794544" w:rsidRPr="004F7E58">
              <w:rPr>
                <w:lang w:val="fr-FR"/>
              </w:rPr>
              <w:t>ostvarena</w:t>
            </w:r>
            <w:proofErr w:type="spellEnd"/>
            <w:r w:rsidR="00794544" w:rsidRPr="004F7E58">
              <w:rPr>
                <w:lang w:val="fr-FR"/>
              </w:rPr>
              <w:t xml:space="preserve"> u </w:t>
            </w:r>
            <w:proofErr w:type="spellStart"/>
            <w:r w:rsidR="00794544" w:rsidRPr="004F7E58">
              <w:rPr>
                <w:lang w:val="fr-FR"/>
              </w:rPr>
              <w:t>potpunosti</w:t>
            </w:r>
            <w:proofErr w:type="spellEnd"/>
            <w:r w:rsidR="00CE20C7" w:rsidRPr="004F7E58">
              <w:rPr>
                <w:lang w:val="fr-FR"/>
              </w:rPr>
              <w:t xml:space="preserve"> (u </w:t>
            </w:r>
            <w:proofErr w:type="spellStart"/>
            <w:r w:rsidR="00CE20C7" w:rsidRPr="004F7E58">
              <w:rPr>
                <w:lang w:val="fr-FR"/>
              </w:rPr>
              <w:t>ranijem</w:t>
            </w:r>
            <w:proofErr w:type="spellEnd"/>
            <w:r w:rsidR="00CE20C7" w:rsidRPr="004F7E58">
              <w:rPr>
                <w:lang w:val="fr-FR"/>
              </w:rPr>
              <w:t xml:space="preserve"> </w:t>
            </w:r>
            <w:proofErr w:type="spellStart"/>
            <w:r w:rsidR="00CE20C7" w:rsidRPr="004F7E58">
              <w:rPr>
                <w:lang w:val="fr-FR"/>
              </w:rPr>
              <w:t>periodu</w:t>
            </w:r>
            <w:proofErr w:type="spellEnd"/>
            <w:r w:rsidR="00CE20C7" w:rsidRPr="004F7E58">
              <w:rPr>
                <w:lang w:val="fr-FR"/>
              </w:rPr>
              <w:t>)</w:t>
            </w:r>
            <w:r w:rsidR="00794544" w:rsidRPr="004F7E58">
              <w:rPr>
                <w:lang w:val="fr-FR"/>
              </w:rPr>
              <w:t>, a</w:t>
            </w:r>
            <w:r w:rsidR="001D4A31" w:rsidRPr="004F7E58">
              <w:rPr>
                <w:lang w:val="fr-FR"/>
              </w:rPr>
              <w:t xml:space="preserve"> </w:t>
            </w:r>
            <w:proofErr w:type="spellStart"/>
            <w:r w:rsidR="001D4A31" w:rsidRPr="004F7E58">
              <w:rPr>
                <w:lang w:val="fr-FR"/>
              </w:rPr>
              <w:t>a</w:t>
            </w:r>
            <w:proofErr w:type="spellEnd"/>
            <w:r w:rsidR="001D4A31" w:rsidRPr="004F7E58">
              <w:rPr>
                <w:lang w:val="fr-FR"/>
              </w:rPr>
              <w:t xml:space="preserve"> </w:t>
            </w:r>
            <w:proofErr w:type="spellStart"/>
            <w:r w:rsidR="001D4A31" w:rsidRPr="004F7E58">
              <w:rPr>
                <w:lang w:val="fr-FR"/>
              </w:rPr>
              <w:t>za</w:t>
            </w:r>
            <w:proofErr w:type="spellEnd"/>
            <w:r w:rsidR="001D4A31" w:rsidRPr="004F7E58">
              <w:rPr>
                <w:lang w:val="fr-FR"/>
              </w:rPr>
              <w:t xml:space="preserve"> </w:t>
            </w:r>
            <w:r w:rsidR="0013452D" w:rsidRPr="004F7E58">
              <w:rPr>
                <w:lang w:val="fr-FR"/>
              </w:rPr>
              <w:t xml:space="preserve">5 </w:t>
            </w:r>
            <w:proofErr w:type="spellStart"/>
            <w:r w:rsidR="001D4A31" w:rsidRPr="004F7E58">
              <w:rPr>
                <w:lang w:val="fr-FR"/>
              </w:rPr>
              <w:t>rezultata</w:t>
            </w:r>
            <w:proofErr w:type="spellEnd"/>
            <w:r w:rsidR="001D4A31" w:rsidRPr="004F7E58">
              <w:rPr>
                <w:lang w:val="fr-FR"/>
              </w:rPr>
              <w:t xml:space="preserve"> </w:t>
            </w:r>
            <w:proofErr w:type="spellStart"/>
            <w:r w:rsidR="001D4A31" w:rsidRPr="004F7E58">
              <w:rPr>
                <w:lang w:val="fr-FR"/>
              </w:rPr>
              <w:t>mjere</w:t>
            </w:r>
            <w:proofErr w:type="spellEnd"/>
            <w:r w:rsidR="001D4A31" w:rsidRPr="004F7E58">
              <w:rPr>
                <w:lang w:val="fr-FR"/>
              </w:rPr>
              <w:t xml:space="preserve"> </w:t>
            </w:r>
            <w:proofErr w:type="spellStart"/>
            <w:r w:rsidR="001D4A31" w:rsidRPr="004F7E58">
              <w:rPr>
                <w:lang w:val="fr-FR"/>
              </w:rPr>
              <w:t>rokovi</w:t>
            </w:r>
            <w:proofErr w:type="spellEnd"/>
            <w:r w:rsidR="001D4A31" w:rsidRPr="004F7E58">
              <w:rPr>
                <w:lang w:val="fr-FR"/>
              </w:rPr>
              <w:t xml:space="preserve"> </w:t>
            </w:r>
            <w:proofErr w:type="spellStart"/>
            <w:r w:rsidR="001D4A31" w:rsidRPr="004F7E58">
              <w:rPr>
                <w:lang w:val="fr-FR"/>
              </w:rPr>
              <w:t>još</w:t>
            </w:r>
            <w:proofErr w:type="spellEnd"/>
            <w:r w:rsidR="001D4A31" w:rsidRPr="004F7E58">
              <w:rPr>
                <w:lang w:val="fr-FR"/>
              </w:rPr>
              <w:t xml:space="preserve"> </w:t>
            </w:r>
            <w:proofErr w:type="spellStart"/>
            <w:r w:rsidR="001D4A31" w:rsidRPr="004F7E58">
              <w:rPr>
                <w:lang w:val="fr-FR"/>
              </w:rPr>
              <w:t>nisu</w:t>
            </w:r>
            <w:proofErr w:type="spellEnd"/>
            <w:r w:rsidR="001D4A31" w:rsidRPr="004F7E58">
              <w:rPr>
                <w:lang w:val="fr-FR"/>
              </w:rPr>
              <w:t xml:space="preserve"> </w:t>
            </w:r>
            <w:proofErr w:type="spellStart"/>
            <w:r w:rsidR="001D4A31" w:rsidRPr="004F7E58">
              <w:rPr>
                <w:lang w:val="fr-FR"/>
              </w:rPr>
              <w:t>istekli</w:t>
            </w:r>
            <w:proofErr w:type="spellEnd"/>
            <w:r w:rsidR="00794544" w:rsidRPr="004F7E58">
              <w:rPr>
                <w:lang w:val="fr-FR"/>
              </w:rPr>
              <w:t xml:space="preserve">. </w:t>
            </w:r>
          </w:p>
        </w:tc>
      </w:tr>
      <w:tr w:rsidR="00317457" w:rsidRPr="004F7E58" w14:paraId="36A98D19" w14:textId="77777777" w:rsidTr="00186FD3">
        <w:tc>
          <w:tcPr>
            <w:tcW w:w="4675" w:type="dxa"/>
            <w:gridSpan w:val="4"/>
          </w:tcPr>
          <w:p w14:paraId="1B55E8AE" w14:textId="1DFA2CED" w:rsidR="00317457" w:rsidRPr="004F7E58" w:rsidRDefault="00186FD3" w:rsidP="00142DD1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64F3CC59" wp14:editId="77F361AC">
                  <wp:extent cx="2513888" cy="2360046"/>
                  <wp:effectExtent l="0" t="0" r="1270" b="2540"/>
                  <wp:docPr id="7" name="Chart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3"/>
          </w:tcPr>
          <w:p w14:paraId="49CC1E0C" w14:textId="219A5345" w:rsidR="00317457" w:rsidRPr="004F7E58" w:rsidRDefault="00291878" w:rsidP="00142DD1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46BFB50F" wp14:editId="22F5A6E4">
                  <wp:extent cx="2491325" cy="2360046"/>
                  <wp:effectExtent l="0" t="0" r="4445" b="2540"/>
                  <wp:docPr id="6" name="Chart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17457" w:rsidRPr="004F7E58" w14:paraId="2B745EE2" w14:textId="77777777" w:rsidTr="00980D92">
        <w:tc>
          <w:tcPr>
            <w:tcW w:w="3964" w:type="dxa"/>
            <w:gridSpan w:val="2"/>
          </w:tcPr>
          <w:p w14:paraId="03C60AF4" w14:textId="20008A0B" w:rsidR="00317457" w:rsidRPr="004F7E58" w:rsidRDefault="00317457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(ali predviđeno u </w:t>
            </w:r>
            <w:r w:rsidR="00186FD3" w:rsidRPr="004F7E58">
              <w:rPr>
                <w:noProof/>
                <w:lang w:val="bs-Latn-BA"/>
              </w:rPr>
              <w:t>2024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F0000"/>
          </w:tcPr>
          <w:p w14:paraId="5F9EEF8E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6F590E46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46857EA7" w14:textId="1B4DA93D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postignuta</w:t>
            </w:r>
          </w:p>
        </w:tc>
        <w:tc>
          <w:tcPr>
            <w:tcW w:w="425" w:type="dxa"/>
            <w:shd w:val="clear" w:color="auto" w:fill="FF0000"/>
          </w:tcPr>
          <w:p w14:paraId="0A58A3D0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05911F8F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317457" w:rsidRPr="004F7E58" w14:paraId="4E721F68" w14:textId="77777777" w:rsidTr="00980D92">
        <w:tc>
          <w:tcPr>
            <w:tcW w:w="3964" w:type="dxa"/>
            <w:gridSpan w:val="2"/>
          </w:tcPr>
          <w:p w14:paraId="2A68C4D7" w14:textId="16167C43" w:rsidR="00317457" w:rsidRPr="004F7E58" w:rsidRDefault="00317457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(nije ni predviđeno u </w:t>
            </w:r>
            <w:r w:rsidR="00186FD3" w:rsidRPr="004F7E58">
              <w:rPr>
                <w:noProof/>
                <w:lang w:val="bs-Latn-BA"/>
              </w:rPr>
              <w:t>2024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2F2F2" w:themeFill="background1" w:themeFillShade="F2"/>
          </w:tcPr>
          <w:p w14:paraId="1054438D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0BB02ABA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0063E562" w14:textId="549BB9F5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  <w:tc>
          <w:tcPr>
            <w:tcW w:w="425" w:type="dxa"/>
            <w:shd w:val="clear" w:color="auto" w:fill="FFE599" w:themeFill="accent4" w:themeFillTint="66"/>
          </w:tcPr>
          <w:p w14:paraId="1363A2D7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706ADB76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317457" w:rsidRPr="004F7E58" w14:paraId="30819272" w14:textId="77777777" w:rsidTr="00980D92">
        <w:tc>
          <w:tcPr>
            <w:tcW w:w="3964" w:type="dxa"/>
            <w:gridSpan w:val="2"/>
          </w:tcPr>
          <w:p w14:paraId="0B2BA73C" w14:textId="77CE58CC" w:rsidR="00317457" w:rsidRPr="004F7E58" w:rsidRDefault="00317457" w:rsidP="002A6CFD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  <w:tc>
          <w:tcPr>
            <w:tcW w:w="355" w:type="dxa"/>
            <w:shd w:val="clear" w:color="auto" w:fill="FFE599" w:themeFill="accent4" w:themeFillTint="66"/>
          </w:tcPr>
          <w:p w14:paraId="24BB6318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43D54F55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695151E2" w14:textId="2B74D0FB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FBF3B6B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16575C6E" w14:textId="77777777" w:rsidR="00317457" w:rsidRPr="004F7E58" w:rsidRDefault="00317457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CF2D71" w:rsidRPr="004F7E58" w14:paraId="52D14630" w14:textId="77777777" w:rsidTr="000570E6">
        <w:tc>
          <w:tcPr>
            <w:tcW w:w="3964" w:type="dxa"/>
            <w:gridSpan w:val="2"/>
          </w:tcPr>
          <w:p w14:paraId="75DBF8E0" w14:textId="224BB5CF" w:rsidR="00CF2D71" w:rsidRPr="004F7E58" w:rsidRDefault="00CF2D7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126197" w:rsidRPr="004F7E58">
              <w:rPr>
                <w:noProof/>
                <w:lang w:val="bs-Latn-BA"/>
              </w:rPr>
              <w:t xml:space="preserve">u </w:t>
            </w:r>
            <w:r w:rsidR="00186FD3" w:rsidRPr="004F7E58">
              <w:rPr>
                <w:noProof/>
                <w:lang w:val="bs-Latn-BA"/>
              </w:rPr>
              <w:t>2024</w:t>
            </w:r>
          </w:p>
        </w:tc>
        <w:tc>
          <w:tcPr>
            <w:tcW w:w="355" w:type="dxa"/>
            <w:shd w:val="clear" w:color="auto" w:fill="C5E0B3" w:themeFill="accent6" w:themeFillTint="66"/>
          </w:tcPr>
          <w:p w14:paraId="12E7A4EF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color w:val="FFFF00"/>
                <w:lang w:val="bs-Latn-BA"/>
              </w:rPr>
            </w:pPr>
          </w:p>
        </w:tc>
        <w:tc>
          <w:tcPr>
            <w:tcW w:w="356" w:type="dxa"/>
          </w:tcPr>
          <w:p w14:paraId="5BAF2C87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6A4C30B9" w14:textId="11720478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7F628D0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098873DB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CF2D71" w:rsidRPr="004F7E58" w14:paraId="524B8124" w14:textId="77777777" w:rsidTr="000570E6">
        <w:tc>
          <w:tcPr>
            <w:tcW w:w="3964" w:type="dxa"/>
            <w:gridSpan w:val="2"/>
          </w:tcPr>
          <w:p w14:paraId="417E9107" w14:textId="3562C8C6" w:rsidR="00CF2D71" w:rsidRPr="004F7E58" w:rsidRDefault="00CF2D71" w:rsidP="002A6CFD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iz prethodnog perioda</w:t>
            </w:r>
          </w:p>
        </w:tc>
        <w:tc>
          <w:tcPr>
            <w:tcW w:w="355" w:type="dxa"/>
            <w:shd w:val="clear" w:color="auto" w:fill="00B050"/>
          </w:tcPr>
          <w:p w14:paraId="2F8EA178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0DD54FF7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4B696243" w14:textId="201C386B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definirana</w:t>
            </w:r>
          </w:p>
        </w:tc>
        <w:tc>
          <w:tcPr>
            <w:tcW w:w="425" w:type="dxa"/>
            <w:shd w:val="clear" w:color="auto" w:fill="FFCCFF"/>
          </w:tcPr>
          <w:p w14:paraId="24EB92A3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7C653913" w14:textId="77777777" w:rsidR="00CF2D71" w:rsidRPr="004F7E58" w:rsidRDefault="00CF2D71" w:rsidP="00142DD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CF2D71" w:rsidRPr="004F7E58" w14:paraId="080ECF3D" w14:textId="77777777" w:rsidTr="00CF2D71">
        <w:trPr>
          <w:trHeight w:val="422"/>
        </w:trPr>
        <w:tc>
          <w:tcPr>
            <w:tcW w:w="3964" w:type="dxa"/>
            <w:gridSpan w:val="2"/>
          </w:tcPr>
          <w:p w14:paraId="35A62A01" w14:textId="568A2FD0" w:rsidR="00CF2D71" w:rsidRPr="004F7E58" w:rsidRDefault="00CF2D71" w:rsidP="002A6CFD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5" w:type="dxa"/>
          </w:tcPr>
          <w:p w14:paraId="42A63FBB" w14:textId="77777777" w:rsidR="00CF2D71" w:rsidRPr="004F7E58" w:rsidRDefault="00CF2D71" w:rsidP="00E1249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7EE7BAD4" w14:textId="77777777" w:rsidR="00CF2D71" w:rsidRPr="004F7E58" w:rsidRDefault="00CF2D71" w:rsidP="00E1249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1AF74550" w14:textId="774B58D3" w:rsidR="00CF2D71" w:rsidRPr="004F7E58" w:rsidRDefault="00CF2D71" w:rsidP="005E4CD0">
            <w:pPr>
              <w:pStyle w:val="NormalPFM1"/>
              <w:spacing w:before="0" w:after="0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 u prethodnom periodu</w:t>
            </w:r>
          </w:p>
        </w:tc>
        <w:tc>
          <w:tcPr>
            <w:tcW w:w="425" w:type="dxa"/>
            <w:shd w:val="clear" w:color="auto" w:fill="00B050"/>
          </w:tcPr>
          <w:p w14:paraId="1B2ACFED" w14:textId="77777777" w:rsidR="00CF2D71" w:rsidRPr="004F7E58" w:rsidRDefault="00CF2D71" w:rsidP="00E1249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547783F9" w14:textId="77777777" w:rsidR="00CF2D71" w:rsidRPr="004F7E58" w:rsidRDefault="00CF2D71" w:rsidP="00E1249E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</w:tbl>
    <w:p w14:paraId="32835DE7" w14:textId="224ABA82" w:rsidR="00423F06" w:rsidRPr="004F7E58" w:rsidRDefault="00423F06" w:rsidP="00317457">
      <w:pPr>
        <w:rPr>
          <w:rFonts w:ascii="Calibri" w:eastAsia="MS PGothic" w:hAnsi="Calibri" w:cs="Times New Roman"/>
          <w:sz w:val="21"/>
          <w:szCs w:val="21"/>
          <w:lang w:val="bs-Latn-BA" w:eastAsia="zh-CN"/>
        </w:rPr>
      </w:pPr>
    </w:p>
    <w:p w14:paraId="5D77FD3A" w14:textId="77777777" w:rsidR="00317457" w:rsidRPr="004F7E58" w:rsidRDefault="00317457" w:rsidP="00317457">
      <w:pPr>
        <w:rPr>
          <w:lang w:val="bs-Latn-BA"/>
        </w:rPr>
      </w:pPr>
    </w:p>
    <w:p w14:paraId="7E43230B" w14:textId="563FC496" w:rsidR="00D87FAD" w:rsidRPr="004F7E58" w:rsidRDefault="00B73340" w:rsidP="006200AB">
      <w:pPr>
        <w:pStyle w:val="Heading4"/>
        <w:rPr>
          <w:b/>
          <w:i w:val="0"/>
          <w:color w:val="C00000"/>
          <w:sz w:val="24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lastRenderedPageBreak/>
        <w:t>4.1.</w:t>
      </w:r>
      <w:r w:rsidR="00731B86" w:rsidRPr="004F7E58">
        <w:rPr>
          <w:b/>
          <w:i w:val="0"/>
          <w:color w:val="C00000"/>
          <w:sz w:val="24"/>
          <w:lang w:val="bs-Latn-BA"/>
        </w:rPr>
        <w:t>3</w:t>
      </w:r>
      <w:r w:rsidRPr="004F7E58">
        <w:rPr>
          <w:b/>
          <w:i w:val="0"/>
          <w:color w:val="C00000"/>
          <w:sz w:val="24"/>
          <w:lang w:val="bs-Latn-BA"/>
        </w:rPr>
        <w:t xml:space="preserve">.1. </w:t>
      </w:r>
      <w:r w:rsidR="000F135E" w:rsidRPr="004F7E58">
        <w:rPr>
          <w:b/>
          <w:i w:val="0"/>
          <w:color w:val="C00000"/>
          <w:sz w:val="24"/>
          <w:lang w:val="bs-Latn-BA"/>
        </w:rPr>
        <w:t>Mjera I.1</w:t>
      </w:r>
      <w:r w:rsidR="00980D90" w:rsidRPr="004F7E58">
        <w:rPr>
          <w:b/>
          <w:i w:val="0"/>
          <w:color w:val="C00000"/>
          <w:sz w:val="24"/>
          <w:lang w:val="bs-Latn-BA"/>
        </w:rPr>
        <w:t xml:space="preserve"> </w:t>
      </w:r>
      <w:r w:rsidR="00DB277F" w:rsidRPr="004F7E58">
        <w:rPr>
          <w:b/>
          <w:i w:val="0"/>
          <w:color w:val="C00000"/>
          <w:sz w:val="24"/>
          <w:lang w:val="bs-Latn-BA"/>
        </w:rPr>
        <w:t>Formuliranje, usvajanje i primjena fiskalnih pravila</w:t>
      </w:r>
    </w:p>
    <w:p w14:paraId="2DD1DDAC" w14:textId="77777777" w:rsidR="009729E6" w:rsidRPr="004F7E58" w:rsidRDefault="009729E6" w:rsidP="009729E6">
      <w:pPr>
        <w:rPr>
          <w:b/>
          <w:lang w:val="bs-Latn-BA"/>
        </w:rPr>
      </w:pPr>
    </w:p>
    <w:p w14:paraId="7154682F" w14:textId="069B9C53" w:rsidR="006D26D3" w:rsidRPr="004F7E58" w:rsidRDefault="009729E6" w:rsidP="009729E6">
      <w:pPr>
        <w:rPr>
          <w:b/>
          <w:lang w:val="bs-Latn-BA"/>
        </w:rPr>
      </w:pPr>
      <w:r w:rsidRPr="004F7E58">
        <w:rPr>
          <w:b/>
          <w:lang w:val="bs-Latn-BA"/>
        </w:rPr>
        <w:t xml:space="preserve">Pregled aktivnosti </w:t>
      </w:r>
      <w:r w:rsidR="00296FEA" w:rsidRPr="004F7E58">
        <w:rPr>
          <w:b/>
          <w:lang w:val="bs-Latn-BA"/>
        </w:rPr>
        <w:t xml:space="preserve">i rezultata </w:t>
      </w:r>
      <w:r w:rsidRPr="004F7E58">
        <w:rPr>
          <w:b/>
          <w:lang w:val="bs-Latn-BA"/>
        </w:rPr>
        <w:t>u okviru mjere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D26D3" w:rsidRPr="004F7E58" w14:paraId="3FF5F071" w14:textId="77777777" w:rsidTr="00DC7F97">
        <w:tc>
          <w:tcPr>
            <w:tcW w:w="9350" w:type="dxa"/>
          </w:tcPr>
          <w:p w14:paraId="705675E6" w14:textId="533948B8" w:rsidR="006D26D3" w:rsidRPr="004F7E58" w:rsidRDefault="006D26D3" w:rsidP="0067683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U izvještajnom periodu, planirana je jedna aktivnost</w:t>
            </w:r>
            <w:r w:rsidR="00C569A5" w:rsidRPr="004F7E58">
              <w:rPr>
                <w:noProof/>
                <w:lang w:val="bs-Latn-BA"/>
              </w:rPr>
              <w:t xml:space="preserve"> </w:t>
            </w:r>
            <w:r w:rsidRPr="004F7E58">
              <w:rPr>
                <w:noProof/>
                <w:lang w:val="bs-Latn-BA"/>
              </w:rPr>
              <w:t>u okviru mjere</w:t>
            </w:r>
            <w:r w:rsidR="0067683E" w:rsidRPr="004F7E58">
              <w:rPr>
                <w:noProof/>
                <w:lang w:val="bs-Latn-BA"/>
              </w:rPr>
              <w:t xml:space="preserve">, koja </w:t>
            </w:r>
            <w:r w:rsidR="0059323F" w:rsidRPr="004F7E58">
              <w:rPr>
                <w:noProof/>
                <w:lang w:val="bs-Latn-BA"/>
              </w:rPr>
              <w:t>je</w:t>
            </w:r>
            <w:r w:rsidR="00697110" w:rsidRPr="004F7E58">
              <w:rPr>
                <w:noProof/>
                <w:lang w:val="bs-Latn-BA"/>
              </w:rPr>
              <w:t xml:space="preserve"> u toku</w:t>
            </w:r>
            <w:r w:rsidRPr="004F7E58">
              <w:rPr>
                <w:noProof/>
                <w:lang w:val="bs-Latn-BA"/>
              </w:rPr>
              <w:t>.</w:t>
            </w:r>
          </w:p>
        </w:tc>
      </w:tr>
      <w:tr w:rsidR="006D26D3" w:rsidRPr="004F7E58" w14:paraId="38D22D55" w14:textId="77777777" w:rsidTr="00DC7F97">
        <w:tc>
          <w:tcPr>
            <w:tcW w:w="9350" w:type="dxa"/>
          </w:tcPr>
          <w:p w14:paraId="5915EA81" w14:textId="192804CD" w:rsidR="006D26D3" w:rsidRPr="004F7E58" w:rsidRDefault="006D26D3" w:rsidP="0073231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fr-FR" w:eastAsia="en-US"/>
              </w:rPr>
            </w:pPr>
            <w:r w:rsidRPr="004F7E58">
              <w:rPr>
                <w:noProof/>
                <w:lang w:val="bs-Latn-BA"/>
              </w:rPr>
              <w:t xml:space="preserve">Ciljna vrijednost koja se odnosi na </w:t>
            </w:r>
            <w:r w:rsidR="001F44F6" w:rsidRPr="004F7E58">
              <w:rPr>
                <w:noProof/>
                <w:lang w:val="bs-Latn-BA"/>
              </w:rPr>
              <w:t>ograničenje javnog duga j</w:t>
            </w:r>
            <w:r w:rsidR="00AE0EED" w:rsidRPr="004F7E58">
              <w:rPr>
                <w:noProof/>
                <w:lang w:val="bs-Latn-BA"/>
              </w:rPr>
              <w:t>e</w:t>
            </w:r>
            <w:r w:rsidR="001F44F6" w:rsidRPr="004F7E58">
              <w:rPr>
                <w:noProof/>
                <w:lang w:val="bs-Latn-BA"/>
              </w:rPr>
              <w:t xml:space="preserve"> postignuta u </w:t>
            </w:r>
            <w:r w:rsidR="00732318" w:rsidRPr="004F7E58">
              <w:rPr>
                <w:noProof/>
                <w:lang w:val="bs-Latn-BA"/>
              </w:rPr>
              <w:t>202</w:t>
            </w:r>
            <w:r w:rsidR="00CF5853" w:rsidRPr="004F7E58">
              <w:rPr>
                <w:noProof/>
                <w:lang w:val="bs-Latn-BA"/>
              </w:rPr>
              <w:t>4</w:t>
            </w:r>
            <w:r w:rsidR="001F44F6" w:rsidRPr="004F7E58">
              <w:rPr>
                <w:noProof/>
                <w:lang w:val="bs-Latn-BA"/>
              </w:rPr>
              <w:t>. godini</w:t>
            </w:r>
            <w:r w:rsidR="00AE0EED" w:rsidRPr="004F7E58">
              <w:rPr>
                <w:noProof/>
                <w:lang w:val="bs-Latn-BA"/>
              </w:rPr>
              <w:t>.</w:t>
            </w:r>
            <w:r w:rsidR="001F44F6" w:rsidRPr="004F7E58">
              <w:rPr>
                <w:noProof/>
                <w:lang w:val="bs-Latn-BA"/>
              </w:rPr>
              <w:t xml:space="preserve"> </w:t>
            </w:r>
          </w:p>
        </w:tc>
      </w:tr>
    </w:tbl>
    <w:p w14:paraId="3EE84972" w14:textId="5645711E" w:rsidR="006D26D3" w:rsidRPr="004F7E58" w:rsidRDefault="006D26D3" w:rsidP="009729E6">
      <w:pPr>
        <w:rPr>
          <w:b/>
          <w:lang w:val="fr-FR"/>
        </w:rPr>
      </w:pPr>
    </w:p>
    <w:tbl>
      <w:tblPr>
        <w:tblStyle w:val="TableGrid"/>
        <w:tblW w:w="9833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6438"/>
        <w:gridCol w:w="2867"/>
      </w:tblGrid>
      <w:tr w:rsidR="00BA7307" w:rsidRPr="004F7E58" w14:paraId="473CFBA5" w14:textId="77777777" w:rsidTr="0008625E">
        <w:trPr>
          <w:cantSplit/>
          <w:trHeight w:val="4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972" w14:textId="77777777" w:rsidR="00BA7307" w:rsidRPr="004F7E58" w:rsidRDefault="00BA7307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C6C2" w14:textId="09AA1917" w:rsidR="00BA7307" w:rsidRPr="004F7E58" w:rsidRDefault="00BA7307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37D" w14:textId="36CC20CE" w:rsidR="00BA7307" w:rsidRPr="004F7E58" w:rsidRDefault="00BA7307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CF5853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CF5853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CB30B3" w:rsidRPr="004F7E58" w14:paraId="46E25E8F" w14:textId="77777777" w:rsidTr="0008625E">
        <w:trPr>
          <w:cantSplit/>
          <w:trHeight w:val="4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EBD" w14:textId="77777777" w:rsidR="00CB30B3" w:rsidRPr="004F7E58" w:rsidRDefault="00CB30B3" w:rsidP="00CB30B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0B50" w14:textId="74A96FE6" w:rsidR="00CB30B3" w:rsidRPr="004F7E58" w:rsidRDefault="00CB30B3" w:rsidP="00CB30B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1.1.1. Primjena novih fiskalnih pravila o zaduživanju i garancijama za sve subjekte javnog sektora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16CDCF" w14:textId="207119D9" w:rsidR="00CB30B3" w:rsidRPr="004F7E58" w:rsidRDefault="0059323F" w:rsidP="00CB30B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BA7307" w:rsidRPr="004F7E58" w14:paraId="4773660A" w14:textId="77777777" w:rsidTr="0008625E">
        <w:trPr>
          <w:cantSplit/>
          <w:trHeight w:val="43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5E0D" w14:textId="77777777" w:rsidR="00BA7307" w:rsidRPr="004F7E58" w:rsidRDefault="00BA7307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0B36" w14:textId="0F4C6BB5" w:rsidR="00BA7307" w:rsidRPr="004F7E58" w:rsidRDefault="00BA7307" w:rsidP="00BA730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V.1.A </w:t>
            </w:r>
            <w:r w:rsidR="00333A16" w:rsidRPr="004F7E58">
              <w:rPr>
                <w:noProof/>
                <w:lang w:val="bs-Latn-BA"/>
              </w:rPr>
              <w:t xml:space="preserve"> Javni dug je ispod 60% GDP-a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8E0570" w14:textId="7F254F5B" w:rsidR="00BA7307" w:rsidRPr="004F7E58" w:rsidRDefault="00CD1523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BA7307" w:rsidRPr="004F7E58" w14:paraId="30F001D4" w14:textId="77777777" w:rsidTr="0008625E">
        <w:trPr>
          <w:cantSplit/>
          <w:trHeight w:val="1996"/>
        </w:trPr>
        <w:tc>
          <w:tcPr>
            <w:tcW w:w="528" w:type="dxa"/>
            <w:tcBorders>
              <w:top w:val="single" w:sz="4" w:space="0" w:color="auto"/>
            </w:tcBorders>
          </w:tcPr>
          <w:p w14:paraId="311E6AFF" w14:textId="77777777" w:rsidR="00BA7307" w:rsidRPr="004F7E58" w:rsidRDefault="00BA7307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9305" w:type="dxa"/>
            <w:gridSpan w:val="2"/>
            <w:tcBorders>
              <w:top w:val="single" w:sz="4" w:space="0" w:color="auto"/>
            </w:tcBorders>
          </w:tcPr>
          <w:p w14:paraId="1C59827F" w14:textId="0D285AAA" w:rsidR="0008740C" w:rsidRPr="004F7E58" w:rsidRDefault="004A6684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Nacrt</w:t>
            </w:r>
            <w:r w:rsidR="00CB30B3" w:rsidRPr="004F7E58">
              <w:rPr>
                <w:lang w:val="bs-Latn-BA"/>
              </w:rPr>
              <w:t xml:space="preserve"> </w:t>
            </w:r>
            <w:r w:rsidR="00E764EE" w:rsidRPr="004F7E58">
              <w:rPr>
                <w:lang w:val="bs-Latn-BA"/>
              </w:rPr>
              <w:t>Zakon</w:t>
            </w:r>
            <w:r w:rsidR="00CB30B3" w:rsidRPr="004F7E58">
              <w:rPr>
                <w:lang w:val="bs-Latn-BA"/>
              </w:rPr>
              <w:t>a</w:t>
            </w:r>
            <w:r w:rsidR="00E764EE" w:rsidRPr="004F7E58">
              <w:rPr>
                <w:lang w:val="bs-Latn-BA"/>
              </w:rPr>
              <w:t xml:space="preserve"> o dugu, zaduživanju i garancijama</w:t>
            </w:r>
            <w:r w:rsidRPr="004F7E58">
              <w:rPr>
                <w:lang w:val="bs-Latn-BA"/>
              </w:rPr>
              <w:t xml:space="preserve"> je povučen iz procedure usvajanja da bi se integrisale izmjene koje će omogućiti izvještavanje prema ESA standardima</w:t>
            </w:r>
            <w:r w:rsidR="00CB30B3" w:rsidRPr="004F7E58">
              <w:rPr>
                <w:lang w:val="bs-Latn-BA"/>
              </w:rPr>
              <w:t xml:space="preserve">. Preduslov za usvajanje Zakona je definicija opšte vlade u skladu sa ESA standardima. Sektor za dug planira da napravi definiciju na nivou FBIH ako ne bude postignut dogovor za </w:t>
            </w:r>
            <w:r w:rsidR="00CB5438" w:rsidRPr="004F7E58">
              <w:rPr>
                <w:lang w:val="bs-Latn-BA"/>
              </w:rPr>
              <w:t>cijelu državu</w:t>
            </w:r>
            <w:r w:rsidR="00CB30B3" w:rsidRPr="004F7E58">
              <w:rPr>
                <w:lang w:val="bs-Latn-BA"/>
              </w:rPr>
              <w:t>. Proces definisanja toga koje institucije, javna preduzeća i javna tijela pripadaju pod definiciju opšte vlade zahtijeva vr</w:t>
            </w:r>
            <w:r w:rsidR="00291878" w:rsidRPr="004F7E58">
              <w:rPr>
                <w:lang w:val="bs-Latn-BA"/>
              </w:rPr>
              <w:t>ij</w:t>
            </w:r>
            <w:r w:rsidR="00CB30B3" w:rsidRPr="004F7E58">
              <w:rPr>
                <w:lang w:val="bs-Latn-BA"/>
              </w:rPr>
              <w:t>eme i sredstva jer potrebno obuhvatiti sve nivoe vlasti u FBIH</w:t>
            </w:r>
            <w:r w:rsidR="00CF5853" w:rsidRPr="004F7E58">
              <w:rPr>
                <w:lang w:val="bs-Latn-BA"/>
              </w:rPr>
              <w:t xml:space="preserve"> i Sektor za dug je nastavio rad na ovom pitanju tokom 2024. godine. Ministarstvo je obe</w:t>
            </w:r>
            <w:r w:rsidR="00697110" w:rsidRPr="004F7E58">
              <w:rPr>
                <w:lang w:val="bs-Latn-BA"/>
              </w:rPr>
              <w:t>z</w:t>
            </w:r>
            <w:r w:rsidR="00CF5853" w:rsidRPr="004F7E58">
              <w:rPr>
                <w:lang w:val="bs-Latn-BA"/>
              </w:rPr>
              <w:t>bijedilo tehni</w:t>
            </w:r>
            <w:r w:rsidR="00E676E8" w:rsidRPr="004F7E58">
              <w:rPr>
                <w:lang w:val="bs-Latn-BA"/>
              </w:rPr>
              <w:t>č</w:t>
            </w:r>
            <w:r w:rsidR="00CF5853" w:rsidRPr="004F7E58">
              <w:rPr>
                <w:lang w:val="bs-Latn-BA"/>
              </w:rPr>
              <w:t xml:space="preserve">ku podrsku od </w:t>
            </w:r>
            <w:r w:rsidR="00291878" w:rsidRPr="004F7E58">
              <w:rPr>
                <w:lang w:val="bs-Latn-BA"/>
              </w:rPr>
              <w:t xml:space="preserve">Delegacije EU </w:t>
            </w:r>
            <w:r w:rsidR="00CF5853" w:rsidRPr="004F7E58">
              <w:rPr>
                <w:lang w:val="bs-Latn-BA"/>
              </w:rPr>
              <w:t>kro</w:t>
            </w:r>
            <w:r w:rsidR="00697110" w:rsidRPr="004F7E58">
              <w:rPr>
                <w:lang w:val="bs-Latn-BA"/>
              </w:rPr>
              <w:t>z</w:t>
            </w:r>
            <w:r w:rsidR="00CF5853" w:rsidRPr="004F7E58">
              <w:rPr>
                <w:lang w:val="bs-Latn-BA"/>
              </w:rPr>
              <w:t xml:space="preserve"> projekat „Podr</w:t>
            </w:r>
            <w:r w:rsidR="00697110" w:rsidRPr="004F7E58">
              <w:rPr>
                <w:lang w:val="bs-Latn-BA"/>
              </w:rPr>
              <w:t>š</w:t>
            </w:r>
            <w:r w:rsidR="00CF5853" w:rsidRPr="004F7E58">
              <w:rPr>
                <w:lang w:val="bs-Latn-BA"/>
              </w:rPr>
              <w:t>ka pripremi izvje</w:t>
            </w:r>
            <w:r w:rsidR="00697110" w:rsidRPr="004F7E58">
              <w:rPr>
                <w:lang w:val="bs-Latn-BA"/>
              </w:rPr>
              <w:t>š</w:t>
            </w:r>
            <w:r w:rsidR="00CF5853" w:rsidRPr="004F7E58">
              <w:rPr>
                <w:lang w:val="bs-Latn-BA"/>
              </w:rPr>
              <w:t>taja o javnom dugu</w:t>
            </w:r>
            <w:r w:rsidR="00E676E8" w:rsidRPr="004F7E58">
              <w:rPr>
                <w:lang w:val="bs-Latn-BA"/>
              </w:rPr>
              <w:t>“</w:t>
            </w:r>
            <w:r w:rsidR="00CF5853" w:rsidRPr="004F7E58">
              <w:rPr>
                <w:rStyle w:val="FootnoteReference"/>
                <w:lang w:val="bs-Latn-BA"/>
              </w:rPr>
              <w:footnoteReference w:id="2"/>
            </w:r>
            <w:r w:rsidR="00CF5853" w:rsidRPr="004F7E58">
              <w:rPr>
                <w:lang w:val="bs-Latn-BA"/>
              </w:rPr>
              <w:t xml:space="preserve"> i planira rad s njim tokom 2025. godine po ovom pitanju.</w:t>
            </w:r>
          </w:p>
        </w:tc>
      </w:tr>
    </w:tbl>
    <w:p w14:paraId="544BE7A9" w14:textId="36FBE741" w:rsidR="00A8530F" w:rsidRPr="004F7E58" w:rsidRDefault="00B73340" w:rsidP="006200AB">
      <w:pPr>
        <w:pStyle w:val="Heading4"/>
        <w:rPr>
          <w:b/>
          <w:i w:val="0"/>
          <w:color w:val="C00000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>4.1.</w:t>
      </w:r>
      <w:r w:rsidR="00731B86" w:rsidRPr="004F7E58">
        <w:rPr>
          <w:b/>
          <w:i w:val="0"/>
          <w:color w:val="C00000"/>
          <w:sz w:val="24"/>
          <w:lang w:val="bs-Latn-BA"/>
        </w:rPr>
        <w:t>3</w:t>
      </w:r>
      <w:r w:rsidRPr="004F7E58">
        <w:rPr>
          <w:b/>
          <w:i w:val="0"/>
          <w:color w:val="C00000"/>
          <w:sz w:val="24"/>
          <w:lang w:val="bs-Latn-BA"/>
        </w:rPr>
        <w:t xml:space="preserve">.2 </w:t>
      </w:r>
      <w:r w:rsidR="00A8530F" w:rsidRPr="004F7E58">
        <w:rPr>
          <w:b/>
          <w:i w:val="0"/>
          <w:color w:val="C00000"/>
          <w:sz w:val="24"/>
          <w:lang w:val="bs-Latn-BA"/>
        </w:rPr>
        <w:t xml:space="preserve">Mjera: I.2. </w:t>
      </w:r>
      <w:r w:rsidR="00AF6E78" w:rsidRPr="004F7E58">
        <w:rPr>
          <w:b/>
          <w:i w:val="0"/>
          <w:color w:val="C00000"/>
          <w:sz w:val="24"/>
          <w:lang w:val="bs-Latn-BA"/>
        </w:rPr>
        <w:t>Unaprjeđenje projekcije prihoda i rashoda za pripremu DOB-a i budžeta u FBiH</w:t>
      </w:r>
    </w:p>
    <w:p w14:paraId="7F0319CE" w14:textId="77777777" w:rsidR="00A8530F" w:rsidRPr="004F7E58" w:rsidRDefault="00A8530F" w:rsidP="00A8530F">
      <w:pPr>
        <w:rPr>
          <w:b/>
          <w:lang w:val="bs-Latn-BA"/>
        </w:rPr>
      </w:pPr>
    </w:p>
    <w:p w14:paraId="3501E4C1" w14:textId="0276466E" w:rsidR="00A8530F" w:rsidRPr="004F7E58" w:rsidRDefault="00A8530F" w:rsidP="00A8530F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="00296FEA" w:rsidRPr="004F7E58">
        <w:rPr>
          <w:b/>
        </w:rPr>
        <w:t>i</w:t>
      </w:r>
      <w:proofErr w:type="spellEnd"/>
      <w:r w:rsidR="00296FEA" w:rsidRPr="004F7E58">
        <w:rPr>
          <w:b/>
        </w:rPr>
        <w:t xml:space="preserve"> </w:t>
      </w:r>
      <w:proofErr w:type="spellStart"/>
      <w:r w:rsidR="00296FEA" w:rsidRPr="004F7E58">
        <w:rPr>
          <w:b/>
        </w:rPr>
        <w:t>rezultata</w:t>
      </w:r>
      <w:proofErr w:type="spellEnd"/>
      <w:r w:rsidR="00296FEA" w:rsidRPr="004F7E58">
        <w:rPr>
          <w:b/>
        </w:rPr>
        <w:t xml:space="preserve"> </w:t>
      </w:r>
      <w:r w:rsidRPr="004F7E58">
        <w:rPr>
          <w:b/>
        </w:rPr>
        <w:t xml:space="preserve">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F44F6" w:rsidRPr="004F7E58" w14:paraId="63DFEC0A" w14:textId="77777777" w:rsidTr="00DC7F97">
        <w:tc>
          <w:tcPr>
            <w:tcW w:w="9350" w:type="dxa"/>
          </w:tcPr>
          <w:p w14:paraId="0285D8EF" w14:textId="282CBACF" w:rsidR="001F44F6" w:rsidRPr="004F7E58" w:rsidRDefault="005F0853" w:rsidP="000F2FFA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 xml:space="preserve">Od četiri planirane aktivnosti 1 je završena, </w:t>
            </w:r>
            <w:r w:rsidR="00697110" w:rsidRPr="004F7E58">
              <w:rPr>
                <w:noProof/>
                <w:lang w:val="bs-Latn-BA"/>
              </w:rPr>
              <w:t>2 nije nisu planirane, a jedna nije započeta iako je planirana.</w:t>
            </w:r>
          </w:p>
        </w:tc>
      </w:tr>
      <w:tr w:rsidR="001F44F6" w:rsidRPr="004F7E58" w14:paraId="62B9D30F" w14:textId="77777777" w:rsidTr="00DC7F97">
        <w:tc>
          <w:tcPr>
            <w:tcW w:w="9350" w:type="dxa"/>
          </w:tcPr>
          <w:p w14:paraId="206F23B6" w14:textId="1C8DB80D" w:rsidR="001F44F6" w:rsidRPr="004F7E58" w:rsidRDefault="005F0853" w:rsidP="000F2FFA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Ostv</w:t>
            </w:r>
            <w:r w:rsidR="00CB5438" w:rsidRPr="004F7E58">
              <w:rPr>
                <w:noProof/>
                <w:lang w:val="bs-Latn-BA"/>
              </w:rPr>
              <w:t>ar</w:t>
            </w:r>
            <w:r w:rsidRPr="004F7E58">
              <w:rPr>
                <w:noProof/>
                <w:lang w:val="bs-Latn-BA"/>
              </w:rPr>
              <w:t>en je</w:t>
            </w:r>
            <w:r w:rsidR="00481334" w:rsidRPr="004F7E58">
              <w:rPr>
                <w:noProof/>
                <w:lang w:val="bs-Latn-BA"/>
              </w:rPr>
              <w:t xml:space="preserve"> rezultat mjere koj</w:t>
            </w:r>
            <w:r w:rsidRPr="004F7E58">
              <w:rPr>
                <w:noProof/>
                <w:lang w:val="bs-Latn-BA"/>
              </w:rPr>
              <w:t>a</w:t>
            </w:r>
            <w:r w:rsidR="00481334" w:rsidRPr="004F7E58">
              <w:rPr>
                <w:noProof/>
                <w:lang w:val="bs-Latn-BA"/>
              </w:rPr>
              <w:t xml:space="preserve"> se odnose na objavljivanje makroekonomskih projekcija. </w:t>
            </w:r>
            <w:r w:rsidR="0075429C" w:rsidRPr="004F7E58">
              <w:rPr>
                <w:noProof/>
                <w:lang w:val="bs-Latn-BA"/>
              </w:rPr>
              <w:t>Rok</w:t>
            </w:r>
            <w:r w:rsidR="000F2FFA" w:rsidRPr="004F7E58">
              <w:rPr>
                <w:noProof/>
                <w:lang w:val="bs-Latn-BA"/>
              </w:rPr>
              <w:t>ovi</w:t>
            </w:r>
            <w:r w:rsidR="0075429C" w:rsidRPr="004F7E58">
              <w:rPr>
                <w:noProof/>
                <w:lang w:val="bs-Latn-BA"/>
              </w:rPr>
              <w:t xml:space="preserve"> za</w:t>
            </w:r>
            <w:r w:rsidR="00481334" w:rsidRPr="004F7E58">
              <w:rPr>
                <w:noProof/>
                <w:lang w:val="bs-Latn-BA"/>
              </w:rPr>
              <w:t xml:space="preserve"> rezultat</w:t>
            </w:r>
            <w:r w:rsidR="000F2FFA" w:rsidRPr="004F7E58">
              <w:rPr>
                <w:noProof/>
                <w:lang w:val="bs-Latn-BA"/>
              </w:rPr>
              <w:t>e</w:t>
            </w:r>
            <w:r w:rsidR="00481334" w:rsidRPr="004F7E58">
              <w:rPr>
                <w:noProof/>
                <w:lang w:val="bs-Latn-BA"/>
              </w:rPr>
              <w:t xml:space="preserve"> mjere koji se odnosi na </w:t>
            </w:r>
            <w:r w:rsidR="000F2FFA" w:rsidRPr="004F7E58">
              <w:rPr>
                <w:noProof/>
                <w:lang w:val="bs-Latn-BA"/>
              </w:rPr>
              <w:t xml:space="preserve">smanjenje projekcija, </w:t>
            </w:r>
            <w:r w:rsidR="00481334" w:rsidRPr="004F7E58">
              <w:rPr>
                <w:noProof/>
                <w:lang w:val="bs-Latn-BA"/>
              </w:rPr>
              <w:t xml:space="preserve">mjesečnu dostupnost izvještaja </w:t>
            </w:r>
            <w:r w:rsidR="0075429C" w:rsidRPr="004F7E58">
              <w:rPr>
                <w:noProof/>
                <w:lang w:val="bs-Latn-BA"/>
              </w:rPr>
              <w:t xml:space="preserve">i </w:t>
            </w:r>
            <w:r w:rsidR="00481334" w:rsidRPr="004F7E58">
              <w:rPr>
                <w:noProof/>
                <w:lang w:val="bs-Latn-BA"/>
              </w:rPr>
              <w:t xml:space="preserve">rok za javnu dostupnost podataka/inputa za izradu projekcija javnih prihoda </w:t>
            </w:r>
            <w:r w:rsidR="0075429C" w:rsidRPr="004F7E58">
              <w:rPr>
                <w:noProof/>
                <w:lang w:val="bs-Latn-BA"/>
              </w:rPr>
              <w:t>nisu istekli</w:t>
            </w:r>
            <w:r w:rsidR="00481334" w:rsidRPr="004F7E58">
              <w:rPr>
                <w:noProof/>
                <w:lang w:val="bs-Latn-BA"/>
              </w:rPr>
              <w:t xml:space="preserve">. </w:t>
            </w:r>
          </w:p>
        </w:tc>
      </w:tr>
    </w:tbl>
    <w:p w14:paraId="0E78A409" w14:textId="453997FB" w:rsidR="001F44F6" w:rsidRPr="004F7E58" w:rsidRDefault="001F44F6" w:rsidP="00A8530F">
      <w:pPr>
        <w:rPr>
          <w:b/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7"/>
        <w:gridCol w:w="2758"/>
      </w:tblGrid>
      <w:tr w:rsidR="00296FEA" w:rsidRPr="004F7E58" w14:paraId="68F13E81" w14:textId="77777777" w:rsidTr="001F44F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9CC9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352" w14:textId="70145F9A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4A3" w14:textId="07B1AA2F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97110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97110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697110" w:rsidRPr="004F7E58" w14:paraId="4461BF8B" w14:textId="77777777" w:rsidTr="0069711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B09" w14:textId="77777777" w:rsidR="00697110" w:rsidRPr="004F7E58" w:rsidRDefault="00697110" w:rsidP="006971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887" w14:textId="5FEFEA22" w:rsidR="00697110" w:rsidRPr="004F7E58" w:rsidRDefault="00697110" w:rsidP="006971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I.2.1 Ojačati kapacitete za makroekonomsku analizu unaprijedjenje prikaza i pojašnjenja makroekonomskih parametara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FD959F" w14:textId="0900341E" w:rsidR="00697110" w:rsidRPr="004F7E58" w:rsidRDefault="00697110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496BE4" w:rsidRPr="004F7E58">
              <w:rPr>
                <w:noProof/>
                <w:lang w:val="bs-Latn-BA"/>
              </w:rPr>
              <w:t xml:space="preserve">u 2023. </w:t>
            </w:r>
          </w:p>
        </w:tc>
      </w:tr>
      <w:tr w:rsidR="00697110" w:rsidRPr="004F7E58" w14:paraId="1ECBE561" w14:textId="77777777" w:rsidTr="0069711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0C9D" w14:textId="77777777" w:rsidR="00697110" w:rsidRPr="004F7E58" w:rsidRDefault="00697110" w:rsidP="006971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A10" w14:textId="2623F0C4" w:rsidR="00697110" w:rsidRPr="004F7E58" w:rsidRDefault="00697110" w:rsidP="0069711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I.2.A Makroekonomske projekcije se objavljuju dva puta godišnje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F2985C" w14:textId="2F9CA16A" w:rsidR="00697110" w:rsidRPr="004F7E58" w:rsidRDefault="006C3F7A" w:rsidP="006971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Rezultat mjere </w:t>
            </w:r>
            <w:r w:rsidR="00697110" w:rsidRPr="004F7E58">
              <w:rPr>
                <w:noProof/>
                <w:lang w:val="bs-Latn-BA"/>
              </w:rPr>
              <w:t>postignut u prethodnom periodu</w:t>
            </w:r>
          </w:p>
        </w:tc>
      </w:tr>
      <w:tr w:rsidR="00296FEA" w:rsidRPr="004F7E58" w14:paraId="4D926E67" w14:textId="77777777" w:rsidTr="001F44F6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F2B798E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AABD837" w14:textId="5F12F53C" w:rsidR="00296FEA" w:rsidRPr="004F7E58" w:rsidRDefault="0084727D" w:rsidP="007044BF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Zaposlena je jo</w:t>
            </w:r>
            <w:r w:rsidR="00EB67AE" w:rsidRPr="004F7E58">
              <w:rPr>
                <w:lang w:val="bs-Latn-BA"/>
              </w:rPr>
              <w:t>š</w:t>
            </w:r>
            <w:r w:rsidRPr="004F7E58">
              <w:rPr>
                <w:lang w:val="bs-Latn-BA"/>
              </w:rPr>
              <w:t xml:space="preserve"> jedna osoba i projekcije se </w:t>
            </w:r>
            <w:r w:rsidR="008E21C7" w:rsidRPr="004F7E58">
              <w:rPr>
                <w:lang w:val="bs-Latn-BA"/>
              </w:rPr>
              <w:t xml:space="preserve">izrađuju </w:t>
            </w:r>
            <w:r w:rsidRPr="004F7E58">
              <w:rPr>
                <w:lang w:val="bs-Latn-BA"/>
              </w:rPr>
              <w:t>i objavlj</w:t>
            </w:r>
            <w:r w:rsidR="008E21C7" w:rsidRPr="004F7E58">
              <w:rPr>
                <w:lang w:val="bs-Latn-BA"/>
              </w:rPr>
              <w:t>uju</w:t>
            </w:r>
            <w:r w:rsidRPr="004F7E58">
              <w:rPr>
                <w:lang w:val="bs-Latn-BA"/>
              </w:rPr>
              <w:t xml:space="preserve"> 2 puta godi</w:t>
            </w:r>
            <w:r w:rsidR="00EB67AE" w:rsidRPr="004F7E58">
              <w:rPr>
                <w:lang w:val="bs-Latn-BA"/>
              </w:rPr>
              <w:t>š</w:t>
            </w:r>
            <w:r w:rsidRPr="004F7E58">
              <w:rPr>
                <w:lang w:val="bs-Latn-BA"/>
              </w:rPr>
              <w:t xml:space="preserve">nje. </w:t>
            </w:r>
          </w:p>
        </w:tc>
      </w:tr>
    </w:tbl>
    <w:p w14:paraId="05A236A5" w14:textId="77777777" w:rsidR="00296FEA" w:rsidRPr="004F7E58" w:rsidRDefault="00296FEA" w:rsidP="00296FEA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296FEA" w:rsidRPr="004F7E58" w14:paraId="403CC239" w14:textId="77777777" w:rsidTr="00BC490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0786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6044" w14:textId="3A423858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0091" w14:textId="5C75F2E4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A773A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 xml:space="preserve"> / Ostvarenje u 202</w:t>
            </w:r>
            <w:r w:rsidR="006A773A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15785" w:rsidRPr="004F7E58" w14:paraId="729829C0" w14:textId="77777777" w:rsidTr="00A1578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ECF" w14:textId="77777777" w:rsidR="00A15785" w:rsidRPr="004F7E58" w:rsidRDefault="00A15785" w:rsidP="00A1578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CDB1" w14:textId="3FD0FF25" w:rsidR="00A15785" w:rsidRPr="004F7E58" w:rsidRDefault="00A15785" w:rsidP="00A1578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I.2.2 Unaprijeđenje koordinacije i odgovornosti između svih nivoa vlasti u pripremi projekcija javnih prihoda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CC7C2" w14:textId="330905E9" w:rsidR="00A15785" w:rsidRPr="004F7E58" w:rsidRDefault="00A15785" w:rsidP="00A1578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6A773A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CD1523" w:rsidRPr="004F7E58" w14:paraId="560932EE" w14:textId="77777777" w:rsidTr="00A1578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A781" w14:textId="77777777" w:rsidR="00CD1523" w:rsidRPr="004F7E58" w:rsidRDefault="00CD1523" w:rsidP="00CD152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A57" w14:textId="1F058287" w:rsidR="00CD1523" w:rsidRPr="004F7E58" w:rsidRDefault="00CD1523" w:rsidP="00CD1523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I.2.B. Procentualno smanjenje razlika između projekcija i izvršenja prihoda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EC35B" w14:textId="01E6B0F5" w:rsidR="00CD1523" w:rsidRPr="004F7E58" w:rsidRDefault="00A15785" w:rsidP="00CD152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en-US"/>
              </w:rPr>
              <w:t>Rok za realizaciju još nije istekao</w:t>
            </w:r>
          </w:p>
        </w:tc>
      </w:tr>
      <w:tr w:rsidR="00296FEA" w:rsidRPr="004F7E58" w14:paraId="5A2C8A19" w14:textId="77777777" w:rsidTr="00BC490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9F3A921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A012D1D" w14:textId="55DAC0E7" w:rsidR="00CD1523" w:rsidRPr="004F7E58" w:rsidRDefault="00CD1523" w:rsidP="00746000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6D60EF35" w14:textId="18B4927E" w:rsidR="005B602A" w:rsidRPr="004F7E58" w:rsidRDefault="005B602A" w:rsidP="005B602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6212DB" w:rsidRPr="004F7E58" w14:paraId="1DF096BC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D979" w14:textId="77777777" w:rsidR="006212DB" w:rsidRPr="004F7E58" w:rsidRDefault="006212D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CCE7" w14:textId="77777777" w:rsidR="006212DB" w:rsidRPr="004F7E58" w:rsidRDefault="006212D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7A82" w14:textId="5D57E4D0" w:rsidR="006212DB" w:rsidRPr="004F7E58" w:rsidRDefault="006212D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8B1FF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8B1FF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697110" w:rsidRPr="004F7E58" w14:paraId="42AD2423" w14:textId="77777777" w:rsidTr="0069711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650B" w14:textId="77777777" w:rsidR="00697110" w:rsidRPr="004F7E58" w:rsidRDefault="00697110" w:rsidP="006971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1A0F" w14:textId="4AA0C1A8" w:rsidR="00697110" w:rsidRPr="004F7E58" w:rsidRDefault="00697110" w:rsidP="006971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I.2.3 Unaprijeđenje inputa za izradu projekcije javnih prihoda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C7ABB" w14:textId="54FF3395" w:rsidR="00697110" w:rsidRPr="004F7E58" w:rsidRDefault="00697110" w:rsidP="006971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2024.)</w:t>
            </w:r>
          </w:p>
        </w:tc>
      </w:tr>
      <w:tr w:rsidR="006212DB" w:rsidRPr="004F7E58" w14:paraId="6A20E056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2225" w14:textId="77777777" w:rsidR="006212DB" w:rsidRPr="004F7E58" w:rsidRDefault="006212D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873C" w14:textId="009ACEAE" w:rsidR="006212DB" w:rsidRPr="004F7E58" w:rsidRDefault="006212DB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I.2.C Javno dostupni podaci/inputi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77E31" w14:textId="77EBE450" w:rsidR="006212DB" w:rsidRPr="004F7E58" w:rsidRDefault="006212D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en-US"/>
              </w:rPr>
            </w:pPr>
            <w:r w:rsidRPr="004F7E58">
              <w:rPr>
                <w:noProof/>
                <w:lang w:val="en-US"/>
              </w:rPr>
              <w:t>Rok za realizaciju još nije istekao</w:t>
            </w:r>
          </w:p>
        </w:tc>
      </w:tr>
      <w:tr w:rsidR="006212DB" w:rsidRPr="004F7E58" w14:paraId="74C0C2BD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A4B2879" w14:textId="77777777" w:rsidR="006212DB" w:rsidRPr="004F7E58" w:rsidRDefault="006212D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05C6CA6" w14:textId="757F0AD2" w:rsidR="006212DB" w:rsidRPr="004F7E58" w:rsidRDefault="006212DB" w:rsidP="000F2FFA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62649FD9" w14:textId="49552AE3" w:rsidR="006212DB" w:rsidRPr="004F7E58" w:rsidRDefault="006212DB" w:rsidP="005B602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187"/>
        <w:gridCol w:w="2778"/>
      </w:tblGrid>
      <w:tr w:rsidR="00CD1523" w:rsidRPr="004F7E58" w14:paraId="0866A7E7" w14:textId="77777777" w:rsidTr="00DC0AF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C8A" w14:textId="77777777" w:rsidR="00CD1523" w:rsidRPr="004F7E58" w:rsidRDefault="00CD1523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6C2F" w14:textId="77777777" w:rsidR="00CD1523" w:rsidRPr="004F7E58" w:rsidRDefault="00CD152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0214" w14:textId="51BD3D72" w:rsidR="00CD1523" w:rsidRPr="004F7E58" w:rsidRDefault="00CD152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8B1FF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8B1FF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5F0853" w:rsidRPr="004F7E58" w14:paraId="2E6E3204" w14:textId="77777777" w:rsidTr="005F085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0B4" w14:textId="77777777" w:rsidR="005F0853" w:rsidRPr="004F7E58" w:rsidRDefault="005F0853" w:rsidP="005F085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1489" w14:textId="52FCE823" w:rsidR="005F0853" w:rsidRPr="004F7E58" w:rsidRDefault="005F085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I.2.4 Uvođenje elektronskog praćenja izvršenja projekcija javnih prihoda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EFEC23C" w14:textId="4BCF3A5B" w:rsidR="005F0853" w:rsidRPr="004F7E58" w:rsidRDefault="005F0853" w:rsidP="005F085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(ali predviđeno u 202</w:t>
            </w:r>
            <w:r w:rsidR="008B1FF6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CD1523" w:rsidRPr="004F7E58" w14:paraId="64A8F276" w14:textId="77777777" w:rsidTr="00DC0AF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A276" w14:textId="77777777" w:rsidR="00CD1523" w:rsidRPr="004F7E58" w:rsidRDefault="00CD1523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EFF" w14:textId="78F87AF2" w:rsidR="00CD1523" w:rsidRPr="004F7E58" w:rsidRDefault="00CD1523" w:rsidP="00DC59E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I.2.D. </w:t>
            </w:r>
            <w:r w:rsidR="00DC59E7" w:rsidRPr="004F7E58">
              <w:rPr>
                <w:noProof/>
                <w:lang w:val="bs-Latn-BA"/>
              </w:rPr>
              <w:t xml:space="preserve">Elektronski izvještaji dostupni na mjesečnom osnovu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A840E" w14:textId="0AD20A59" w:rsidR="00CD1523" w:rsidRPr="004F7E58" w:rsidRDefault="00CD1523" w:rsidP="00823166">
            <w:pPr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21"/>
                <w:szCs w:val="21"/>
              </w:rPr>
              <w:t>istekao</w:t>
            </w:r>
            <w:proofErr w:type="spellEnd"/>
          </w:p>
        </w:tc>
      </w:tr>
      <w:tr w:rsidR="00CD1523" w:rsidRPr="004F7E58" w14:paraId="2F222575" w14:textId="77777777" w:rsidTr="00DC0AFD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06A8FDB" w14:textId="77777777" w:rsidR="00CD1523" w:rsidRPr="004F7E58" w:rsidRDefault="00CD1523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531D891E" w14:textId="3EFE79F9" w:rsidR="00CD1523" w:rsidRPr="004F7E58" w:rsidRDefault="00A026A6" w:rsidP="004F7E58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USAID je </w:t>
            </w:r>
            <w:r w:rsidR="008B1FF6" w:rsidRPr="004F7E58">
              <w:rPr>
                <w:noProof/>
                <w:lang w:val="bs-Latn-BA"/>
              </w:rPr>
              <w:t>obustavi</w:t>
            </w:r>
            <w:r w:rsidRPr="004F7E58">
              <w:rPr>
                <w:noProof/>
                <w:lang w:val="bs-Latn-BA"/>
              </w:rPr>
              <w:t>o</w:t>
            </w:r>
            <w:r w:rsidR="008B1FF6" w:rsidRPr="004F7E58">
              <w:rPr>
                <w:noProof/>
                <w:lang w:val="bs-Latn-BA"/>
              </w:rPr>
              <w:t xml:space="preserve"> sve projekte vanjske pomoći</w:t>
            </w:r>
            <w:r w:rsidR="00697110" w:rsidRPr="004F7E58">
              <w:rPr>
                <w:noProof/>
                <w:lang w:val="bs-Latn-BA"/>
              </w:rPr>
              <w:t>. P</w:t>
            </w:r>
            <w:r w:rsidR="008B1FF6" w:rsidRPr="004F7E58">
              <w:rPr>
                <w:noProof/>
                <w:lang w:val="bs-Latn-BA"/>
              </w:rPr>
              <w:t xml:space="preserve">rojekat tehničke podrške FMF je zaustavljen krajem 2024. godine. </w:t>
            </w:r>
          </w:p>
        </w:tc>
      </w:tr>
    </w:tbl>
    <w:p w14:paraId="0071D0FB" w14:textId="77777777" w:rsidR="00CD1523" w:rsidRPr="004F7E58" w:rsidRDefault="00CD1523" w:rsidP="005B602A">
      <w:pPr>
        <w:pStyle w:val="NormalPFM1"/>
        <w:rPr>
          <w:lang w:val="bs-Latn-BA"/>
        </w:rPr>
      </w:pPr>
    </w:p>
    <w:p w14:paraId="4C993615" w14:textId="6F918914" w:rsidR="005B602A" w:rsidRPr="004F7E58" w:rsidRDefault="00B73340" w:rsidP="006200AB">
      <w:pPr>
        <w:pStyle w:val="Heading4"/>
        <w:rPr>
          <w:b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>4.1.</w:t>
      </w:r>
      <w:r w:rsidR="00731B86" w:rsidRPr="004F7E58">
        <w:rPr>
          <w:b/>
          <w:i w:val="0"/>
          <w:color w:val="C00000"/>
          <w:sz w:val="24"/>
          <w:lang w:val="bs-Latn-BA"/>
        </w:rPr>
        <w:t>3</w:t>
      </w:r>
      <w:r w:rsidRPr="004F7E58">
        <w:rPr>
          <w:b/>
          <w:i w:val="0"/>
          <w:color w:val="C00000"/>
          <w:sz w:val="24"/>
          <w:lang w:val="bs-Latn-BA"/>
        </w:rPr>
        <w:t xml:space="preserve">.3 </w:t>
      </w:r>
      <w:r w:rsidR="005B602A" w:rsidRPr="004F7E58">
        <w:rPr>
          <w:b/>
          <w:i w:val="0"/>
          <w:color w:val="C00000"/>
          <w:sz w:val="24"/>
          <w:lang w:val="bs-Latn-BA"/>
        </w:rPr>
        <w:t xml:space="preserve">MJERA: I.3. </w:t>
      </w:r>
      <w:r w:rsidR="00043308" w:rsidRPr="004F7E58">
        <w:rPr>
          <w:b/>
          <w:i w:val="0"/>
          <w:color w:val="C00000"/>
          <w:sz w:val="24"/>
          <w:lang w:val="bs-Latn-BA"/>
        </w:rPr>
        <w:t>Fiskalna koordinacija, konsolidacija i izvještavanje (Jačanje finansija nižih nivoa vlasti)</w:t>
      </w:r>
    </w:p>
    <w:p w14:paraId="1F5531CD" w14:textId="77777777" w:rsidR="008C0E5F" w:rsidRPr="004F7E58" w:rsidRDefault="008C0E5F" w:rsidP="005B602A">
      <w:pPr>
        <w:rPr>
          <w:b/>
          <w:lang w:val="bs-Latn-BA"/>
        </w:rPr>
      </w:pPr>
    </w:p>
    <w:p w14:paraId="2CBCA749" w14:textId="162833BA" w:rsidR="005B602A" w:rsidRPr="004F7E58" w:rsidRDefault="005B602A" w:rsidP="005B602A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="00602FAF" w:rsidRPr="004F7E58">
        <w:rPr>
          <w:b/>
        </w:rPr>
        <w:t>i</w:t>
      </w:r>
      <w:proofErr w:type="spellEnd"/>
      <w:r w:rsidR="00602FAF" w:rsidRPr="004F7E58">
        <w:rPr>
          <w:b/>
        </w:rPr>
        <w:t xml:space="preserve"> </w:t>
      </w:r>
      <w:proofErr w:type="spellStart"/>
      <w:r w:rsidR="00602FAF" w:rsidRPr="004F7E58">
        <w:rPr>
          <w:b/>
        </w:rPr>
        <w:t>rezultata</w:t>
      </w:r>
      <w:proofErr w:type="spellEnd"/>
      <w:r w:rsidR="00602FAF" w:rsidRPr="004F7E58">
        <w:rPr>
          <w:b/>
        </w:rPr>
        <w:t xml:space="preserve"> </w:t>
      </w:r>
      <w:r w:rsidRPr="004F7E58">
        <w:rPr>
          <w:b/>
        </w:rPr>
        <w:t xml:space="preserve">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C0E5F" w:rsidRPr="004F7E58" w14:paraId="0EF4168B" w14:textId="77777777" w:rsidTr="00DC7F97">
        <w:tc>
          <w:tcPr>
            <w:tcW w:w="9350" w:type="dxa"/>
          </w:tcPr>
          <w:p w14:paraId="0C936E1D" w14:textId="52044FC3" w:rsidR="008C0E5F" w:rsidRPr="004F7E58" w:rsidRDefault="00986B33" w:rsidP="00986B33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>Obje aktivnosti u okviru mjere</w:t>
            </w:r>
            <w:r w:rsidR="00EC7486" w:rsidRPr="004F7E58">
              <w:rPr>
                <w:noProof/>
                <w:lang w:val="bs-Latn-BA"/>
              </w:rPr>
              <w:t xml:space="preserve"> </w:t>
            </w:r>
            <w:r w:rsidR="005F24F1" w:rsidRPr="004F7E58">
              <w:rPr>
                <w:noProof/>
                <w:lang w:val="bs-Latn-BA"/>
              </w:rPr>
              <w:t>nisu planirane tokom 202</w:t>
            </w:r>
            <w:r w:rsidR="00697110" w:rsidRPr="004F7E58">
              <w:rPr>
                <w:noProof/>
                <w:lang w:val="bs-Latn-BA"/>
              </w:rPr>
              <w:t>4</w:t>
            </w:r>
            <w:r w:rsidR="005F24F1" w:rsidRPr="004F7E58">
              <w:rPr>
                <w:noProof/>
                <w:lang w:val="bs-Latn-BA"/>
              </w:rPr>
              <w:t>. godine</w:t>
            </w:r>
            <w:r w:rsidR="00F6091B" w:rsidRPr="004F7E58">
              <w:rPr>
                <w:noProof/>
                <w:lang w:val="bs-Latn-BA"/>
              </w:rPr>
              <w:t xml:space="preserve">. </w:t>
            </w:r>
            <w:r w:rsidR="008C0E5F" w:rsidRPr="004F7E58">
              <w:rPr>
                <w:noProof/>
                <w:lang w:val="bs-Latn-BA"/>
              </w:rPr>
              <w:t xml:space="preserve"> </w:t>
            </w:r>
          </w:p>
        </w:tc>
      </w:tr>
      <w:tr w:rsidR="008C0E5F" w:rsidRPr="004F7E58" w14:paraId="4F80AE45" w14:textId="77777777" w:rsidTr="00DC7F97">
        <w:tc>
          <w:tcPr>
            <w:tcW w:w="9350" w:type="dxa"/>
          </w:tcPr>
          <w:p w14:paraId="45119B54" w14:textId="72313B16" w:rsidR="008C0E5F" w:rsidRPr="004F7E58" w:rsidRDefault="00DC0AFD" w:rsidP="00DC0AFD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Rokovi za r</w:t>
            </w:r>
            <w:r w:rsidR="003D1859" w:rsidRPr="004F7E58">
              <w:rPr>
                <w:noProof/>
                <w:lang w:val="bs-Latn-BA"/>
              </w:rPr>
              <w:t>ezultat</w:t>
            </w:r>
            <w:r w:rsidR="00C569A5" w:rsidRPr="004F7E58">
              <w:rPr>
                <w:noProof/>
                <w:lang w:val="bs-Latn-BA"/>
              </w:rPr>
              <w:t>e</w:t>
            </w:r>
            <w:r w:rsidR="003D1859" w:rsidRPr="004F7E58">
              <w:rPr>
                <w:noProof/>
                <w:lang w:val="bs-Latn-BA"/>
              </w:rPr>
              <w:t xml:space="preserve"> mjere</w:t>
            </w:r>
            <w:r w:rsidR="00F6091B" w:rsidRPr="004F7E58">
              <w:rPr>
                <w:noProof/>
                <w:lang w:val="bs-Latn-BA"/>
              </w:rPr>
              <w:t xml:space="preserve"> </w:t>
            </w:r>
            <w:r w:rsidRPr="004F7E58">
              <w:rPr>
                <w:noProof/>
                <w:lang w:val="bs-Latn-BA"/>
              </w:rPr>
              <w:t>nisu istekli</w:t>
            </w:r>
            <w:r w:rsidR="00165ADF" w:rsidRPr="004F7E58">
              <w:rPr>
                <w:noProof/>
                <w:lang w:val="bs-Latn-BA"/>
              </w:rPr>
              <w:t xml:space="preserve">. </w:t>
            </w:r>
          </w:p>
        </w:tc>
      </w:tr>
    </w:tbl>
    <w:p w14:paraId="37320CF7" w14:textId="22644709" w:rsidR="008C0E5F" w:rsidRPr="004F7E58" w:rsidRDefault="008C0E5F" w:rsidP="005B602A">
      <w:pPr>
        <w:rPr>
          <w:b/>
          <w:lang w:val="bs-Latn-BA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510"/>
        <w:gridCol w:w="6151"/>
        <w:gridCol w:w="2808"/>
      </w:tblGrid>
      <w:tr w:rsidR="00642088" w:rsidRPr="004F7E58" w14:paraId="60587EA5" w14:textId="77777777" w:rsidTr="002371EF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A650" w14:textId="77777777" w:rsidR="00642088" w:rsidRPr="004F7E58" w:rsidRDefault="00642088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1E75" w14:textId="77777777" w:rsidR="00642088" w:rsidRPr="004F7E58" w:rsidRDefault="0064208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EB7" w14:textId="6FFC73F3" w:rsidR="00642088" w:rsidRPr="004F7E58" w:rsidRDefault="0064208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BE53B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BE53B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823166" w:rsidRPr="004F7E58" w14:paraId="1203C586" w14:textId="77777777" w:rsidTr="002371EF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AAD" w14:textId="77777777" w:rsidR="00823166" w:rsidRPr="004F7E58" w:rsidRDefault="00823166" w:rsidP="0082316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68F" w14:textId="70076E3E" w:rsidR="00823166" w:rsidRPr="004F7E58" w:rsidRDefault="00823166" w:rsidP="0082316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I.3.1 Ojačati sekretarsku i tehničku podršku za funkcioniranje tijela za fiskalnu koordinaciju i njegove uloge u rješavanju regulatornih i pitanja politika koje imaju implikacije za različite vlade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248E9" w14:textId="72798530" w:rsidR="00823166" w:rsidRPr="004F7E58" w:rsidRDefault="00823166" w:rsidP="000F2F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(nije ni predviđeno u </w:t>
            </w:r>
            <w:r w:rsidR="000F2FFA" w:rsidRPr="004F7E58">
              <w:rPr>
                <w:noProof/>
                <w:lang w:val="bs-Latn-BA"/>
              </w:rPr>
              <w:t>202</w:t>
            </w:r>
            <w:r w:rsidR="00BE53B2"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823166" w:rsidRPr="004F7E58" w14:paraId="6078CC0E" w14:textId="77777777" w:rsidTr="002371EF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65F8" w14:textId="77777777" w:rsidR="00823166" w:rsidRPr="004F7E58" w:rsidRDefault="00823166" w:rsidP="0082316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F17" w14:textId="05CEE627" w:rsidR="00823166" w:rsidRPr="004F7E58" w:rsidRDefault="00823166" w:rsidP="00823166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I.3.A Funkcionalno tijelo za fiskalnu koordinaciju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2D095" w14:textId="304DA82D" w:rsidR="00823166" w:rsidRPr="004F7E58" w:rsidRDefault="00823166" w:rsidP="0082316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en-US"/>
              </w:rPr>
              <w:t>Rok za realizaciju još nije istekao</w:t>
            </w:r>
          </w:p>
        </w:tc>
      </w:tr>
      <w:tr w:rsidR="00642088" w:rsidRPr="004F7E58" w14:paraId="50745789" w14:textId="77777777" w:rsidTr="002371EF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</w:tcBorders>
          </w:tcPr>
          <w:p w14:paraId="15390C75" w14:textId="77777777" w:rsidR="00642088" w:rsidRPr="004F7E58" w:rsidRDefault="00642088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59" w:type="dxa"/>
            <w:gridSpan w:val="2"/>
            <w:tcBorders>
              <w:top w:val="single" w:sz="4" w:space="0" w:color="auto"/>
            </w:tcBorders>
          </w:tcPr>
          <w:p w14:paraId="489F9009" w14:textId="713EE5BA" w:rsidR="00642088" w:rsidRPr="004F7E58" w:rsidRDefault="00642088" w:rsidP="007E3EA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 </w:t>
            </w:r>
          </w:p>
          <w:p w14:paraId="2C659791" w14:textId="53D88DA8" w:rsidR="00642088" w:rsidRPr="004F7E58" w:rsidRDefault="00642088" w:rsidP="007E3EA0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  <w:tr w:rsidR="00296FEA" w:rsidRPr="004F7E58" w14:paraId="67E9E1FE" w14:textId="77777777" w:rsidTr="002371EF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108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  <w:bookmarkStart w:id="11" w:name="_Hlk107993650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6ACD" w14:textId="3952FF20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0B78" w14:textId="02F7DAD4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BE53B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BE53B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A6922" w:rsidRPr="004F7E58" w14:paraId="67CBAC1B" w14:textId="77777777" w:rsidTr="001A6922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C097" w14:textId="77777777" w:rsidR="001A6922" w:rsidRPr="004F7E58" w:rsidRDefault="001A6922" w:rsidP="001A692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93D" w14:textId="1E8544DB" w:rsidR="001A6922" w:rsidRPr="004F7E58" w:rsidRDefault="001A6922" w:rsidP="001A692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I.3.2 Izmjena fiskalnih pravila u procesu usvajanja i izvršavanja budžeta i njihova implementacija na svim nivoima vlasti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6CE78" w14:textId="2CF9BB93" w:rsidR="001A6922" w:rsidRPr="004F7E58" w:rsidRDefault="001A6922" w:rsidP="00BE53B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BE53B2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165ADF" w:rsidRPr="004F7E58" w14:paraId="189C7FA5" w14:textId="77777777" w:rsidTr="00E13436">
        <w:trPr>
          <w:gridBefore w:val="1"/>
          <w:wBefore w:w="6" w:type="dxa"/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1D6" w14:textId="77777777" w:rsidR="00165ADF" w:rsidRPr="004F7E58" w:rsidRDefault="00165ADF" w:rsidP="00165AD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30B" w14:textId="7B364E37" w:rsidR="00165ADF" w:rsidRPr="004F7E58" w:rsidRDefault="00165ADF" w:rsidP="00165ADF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I.3.B Novi budžetski kalendar se primjenjuje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1E98" w14:textId="5759F4D6" w:rsidR="00165ADF" w:rsidRPr="004F7E58" w:rsidRDefault="00165ADF" w:rsidP="00EC797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en-US"/>
              </w:rPr>
              <w:t>Rok za realizaciju još nije istekao</w:t>
            </w:r>
          </w:p>
        </w:tc>
      </w:tr>
      <w:tr w:rsidR="00296FEA" w:rsidRPr="004F7E58" w14:paraId="351A2228" w14:textId="77777777" w:rsidTr="00E13436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</w:tcBorders>
          </w:tcPr>
          <w:p w14:paraId="46D988ED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59" w:type="dxa"/>
            <w:gridSpan w:val="2"/>
            <w:tcBorders>
              <w:top w:val="single" w:sz="4" w:space="0" w:color="auto"/>
            </w:tcBorders>
          </w:tcPr>
          <w:p w14:paraId="73A25169" w14:textId="19E5EC21" w:rsidR="00296FEA" w:rsidRPr="004F7E58" w:rsidRDefault="00834994" w:rsidP="00423F06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U skladu sa odlukom FMF, </w:t>
            </w:r>
            <w:r w:rsidR="00A00F94" w:rsidRPr="004F7E58">
              <w:rPr>
                <w:lang w:val="bs-Latn-BA"/>
              </w:rPr>
              <w:t>u 2021. godini riješ</w:t>
            </w:r>
            <w:r w:rsidRPr="004F7E58">
              <w:rPr>
                <w:lang w:val="bs-Latn-BA"/>
              </w:rPr>
              <w:t xml:space="preserve">eno je </w:t>
            </w:r>
            <w:r w:rsidR="00A00F94" w:rsidRPr="004F7E58">
              <w:rPr>
                <w:lang w:val="bs-Latn-BA"/>
              </w:rPr>
              <w:t xml:space="preserve">da se izmjene Zakona o budžetima urade samo u dijelu koji se odnosi na uvođenje programskog budžetiranja i </w:t>
            </w:r>
            <w:r w:rsidR="00237ECB">
              <w:rPr>
                <w:lang w:val="bs-Latn-BA"/>
              </w:rPr>
              <w:t>predviđeno</w:t>
            </w:r>
            <w:r w:rsidR="00A00F94" w:rsidRPr="004F7E58">
              <w:rPr>
                <w:lang w:val="bs-Latn-BA"/>
              </w:rPr>
              <w:t xml:space="preserve"> je uvođenje programskog budžeta kao prioritet u tom periodu. Sljedeće izmjene Zakona se planiraju raditi tokom 202</w:t>
            </w:r>
            <w:r w:rsidR="00697110" w:rsidRPr="004F7E58">
              <w:rPr>
                <w:lang w:val="bs-Latn-BA"/>
              </w:rPr>
              <w:t>5</w:t>
            </w:r>
            <w:r w:rsidR="00A00F94" w:rsidRPr="004F7E58">
              <w:rPr>
                <w:lang w:val="bs-Latn-BA"/>
              </w:rPr>
              <w:t xml:space="preserve">. godine. </w:t>
            </w:r>
          </w:p>
        </w:tc>
      </w:tr>
      <w:bookmarkEnd w:id="11"/>
    </w:tbl>
    <w:p w14:paraId="3E650784" w14:textId="77777777" w:rsidR="005535E8" w:rsidRPr="004F7E58" w:rsidRDefault="005535E8" w:rsidP="004F7E58"/>
    <w:p w14:paraId="381A5784" w14:textId="4B134C5A" w:rsidR="00FA75D3" w:rsidRPr="004F7E58" w:rsidRDefault="00731B86" w:rsidP="006216DE">
      <w:pPr>
        <w:pStyle w:val="Heading4"/>
        <w:rPr>
          <w:b/>
          <w:i w:val="0"/>
          <w:color w:val="C00000"/>
        </w:rPr>
      </w:pPr>
      <w:r w:rsidRPr="004F7E58">
        <w:rPr>
          <w:b/>
          <w:i w:val="0"/>
          <w:color w:val="C00000"/>
        </w:rPr>
        <w:t xml:space="preserve">4.1.3.4 </w:t>
      </w:r>
      <w:proofErr w:type="spellStart"/>
      <w:r w:rsidR="00FA75D3" w:rsidRPr="004F7E58">
        <w:rPr>
          <w:b/>
          <w:i w:val="0"/>
          <w:color w:val="C00000"/>
        </w:rPr>
        <w:t>MJERA</w:t>
      </w:r>
      <w:proofErr w:type="spellEnd"/>
      <w:r w:rsidR="00FA75D3" w:rsidRPr="004F7E58">
        <w:rPr>
          <w:b/>
          <w:i w:val="0"/>
          <w:color w:val="C00000"/>
        </w:rPr>
        <w:t xml:space="preserve">: I.4. </w:t>
      </w:r>
      <w:proofErr w:type="spellStart"/>
      <w:r w:rsidR="00804698" w:rsidRPr="004F7E58">
        <w:rPr>
          <w:b/>
          <w:i w:val="0"/>
          <w:color w:val="C00000"/>
          <w:sz w:val="24"/>
        </w:rPr>
        <w:t>Nadzor</w:t>
      </w:r>
      <w:proofErr w:type="spellEnd"/>
      <w:r w:rsidR="00804698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804698" w:rsidRPr="004F7E58">
        <w:rPr>
          <w:b/>
          <w:i w:val="0"/>
          <w:color w:val="C00000"/>
          <w:sz w:val="24"/>
        </w:rPr>
        <w:t>nad</w:t>
      </w:r>
      <w:proofErr w:type="spellEnd"/>
      <w:r w:rsidR="00804698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804698" w:rsidRPr="004F7E58">
        <w:rPr>
          <w:b/>
          <w:i w:val="0"/>
          <w:color w:val="C00000"/>
          <w:sz w:val="24"/>
        </w:rPr>
        <w:t>javnim</w:t>
      </w:r>
      <w:proofErr w:type="spellEnd"/>
      <w:r w:rsidR="00804698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804698" w:rsidRPr="004F7E58">
        <w:rPr>
          <w:b/>
          <w:i w:val="0"/>
          <w:color w:val="C00000"/>
          <w:sz w:val="24"/>
        </w:rPr>
        <w:t>preduzećima</w:t>
      </w:r>
      <w:proofErr w:type="spellEnd"/>
    </w:p>
    <w:p w14:paraId="659C2DF4" w14:textId="77777777" w:rsidR="00FA75D3" w:rsidRPr="004F7E58" w:rsidRDefault="00FA75D3" w:rsidP="00FA75D3">
      <w:pPr>
        <w:rPr>
          <w:b/>
        </w:rPr>
      </w:pPr>
    </w:p>
    <w:p w14:paraId="339BE307" w14:textId="21D18000" w:rsidR="00FA75D3" w:rsidRPr="004F7E58" w:rsidRDefault="00FA75D3" w:rsidP="00FA75D3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35CCB" w:rsidRPr="004F7E58" w14:paraId="3CEA5F89" w14:textId="77777777" w:rsidTr="00DC7F97">
        <w:tc>
          <w:tcPr>
            <w:tcW w:w="9350" w:type="dxa"/>
          </w:tcPr>
          <w:p w14:paraId="70C12662" w14:textId="72FE0F38" w:rsidR="00335CCB" w:rsidRPr="004F7E58" w:rsidRDefault="00335CCB" w:rsidP="0043014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>U izvještajnom periodu u okviru mjere planirana je jedna aktivnost</w:t>
            </w:r>
            <w:r w:rsidR="00430148" w:rsidRPr="004F7E58">
              <w:rPr>
                <w:noProof/>
                <w:lang w:val="bs-Latn-BA"/>
              </w:rPr>
              <w:t xml:space="preserve"> na uspostavi jedinice za praćenje javnih preduzeća koja je </w:t>
            </w:r>
            <w:r w:rsidRPr="004F7E58">
              <w:rPr>
                <w:noProof/>
                <w:lang w:val="bs-Latn-BA"/>
              </w:rPr>
              <w:t xml:space="preserve">završena </w:t>
            </w:r>
            <w:r w:rsidR="00430148" w:rsidRPr="004F7E58">
              <w:rPr>
                <w:noProof/>
                <w:lang w:val="bs-Latn-BA"/>
              </w:rPr>
              <w:t>2022</w:t>
            </w:r>
            <w:r w:rsidRPr="004F7E58">
              <w:rPr>
                <w:noProof/>
                <w:lang w:val="bs-Latn-BA"/>
              </w:rPr>
              <w:t xml:space="preserve">. godine.  </w:t>
            </w:r>
          </w:p>
        </w:tc>
      </w:tr>
      <w:tr w:rsidR="00335CCB" w:rsidRPr="004F7E58" w14:paraId="24682DA9" w14:textId="77777777" w:rsidTr="00DC7F97">
        <w:tc>
          <w:tcPr>
            <w:tcW w:w="9350" w:type="dxa"/>
          </w:tcPr>
          <w:p w14:paraId="065FCDD6" w14:textId="68CA70C8" w:rsidR="00335CCB" w:rsidRPr="004F7E58" w:rsidRDefault="0071343C" w:rsidP="0043014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Rezultat mjere</w:t>
            </w:r>
            <w:r w:rsidR="00335CCB" w:rsidRPr="004F7E58">
              <w:rPr>
                <w:noProof/>
                <w:lang w:val="bs-Latn-BA"/>
              </w:rPr>
              <w:t xml:space="preserve"> koj</w:t>
            </w:r>
            <w:r w:rsidRPr="004F7E58">
              <w:rPr>
                <w:noProof/>
                <w:lang w:val="bs-Latn-BA"/>
              </w:rPr>
              <w:t>i</w:t>
            </w:r>
            <w:r w:rsidR="00335CCB" w:rsidRPr="004F7E58">
              <w:rPr>
                <w:noProof/>
                <w:lang w:val="bs-Latn-BA"/>
              </w:rPr>
              <w:t xml:space="preserve"> se odnosi na </w:t>
            </w:r>
            <w:r w:rsidR="006B5D78" w:rsidRPr="004F7E58">
              <w:rPr>
                <w:noProof/>
                <w:lang w:val="bs-Latn-BA"/>
              </w:rPr>
              <w:t xml:space="preserve">uspostavu Jedinice za praćenje javnih preduzeća </w:t>
            </w:r>
            <w:r w:rsidR="00430148" w:rsidRPr="004F7E58">
              <w:rPr>
                <w:noProof/>
                <w:lang w:val="bs-Latn-BA"/>
              </w:rPr>
              <w:t>je postignut</w:t>
            </w:r>
            <w:r w:rsidR="00DD4587" w:rsidRPr="004F7E58">
              <w:rPr>
                <w:noProof/>
                <w:lang w:val="bs-Latn-BA"/>
              </w:rPr>
              <w:t>.</w:t>
            </w:r>
            <w:r w:rsidR="00746000" w:rsidRPr="004F7E58">
              <w:rPr>
                <w:noProof/>
                <w:lang w:val="bs-Latn-BA"/>
              </w:rPr>
              <w:t xml:space="preserve">  </w:t>
            </w:r>
          </w:p>
        </w:tc>
      </w:tr>
    </w:tbl>
    <w:p w14:paraId="7D2836FE" w14:textId="0AD2BAEB" w:rsidR="00335CCB" w:rsidRPr="004F7E58" w:rsidRDefault="00335CCB" w:rsidP="00FA75D3">
      <w:pPr>
        <w:rPr>
          <w:b/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296FEA" w:rsidRPr="004F7E58" w14:paraId="59539AE8" w14:textId="77777777" w:rsidTr="00AB73F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C93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A4C7" w14:textId="4893C8C8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3D0" w14:textId="5594F823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97110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97110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96FEA" w:rsidRPr="004F7E58" w14:paraId="140C4197" w14:textId="77777777" w:rsidTr="00AB73F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A6E5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9F9E" w14:textId="0C93EB05" w:rsidR="00296FEA" w:rsidRPr="004F7E58" w:rsidRDefault="00804698" w:rsidP="00142DD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I.4.1 Uspostavljanje Jedinice za praćenje javnih preduzeća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AA55720" w14:textId="19FB01A3" w:rsidR="00296FEA" w:rsidRPr="004F7E58" w:rsidRDefault="00AB73F1" w:rsidP="0043014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2022.</w:t>
            </w:r>
          </w:p>
        </w:tc>
      </w:tr>
      <w:tr w:rsidR="00AB73F1" w:rsidRPr="004F7E58" w14:paraId="42116F63" w14:textId="77777777" w:rsidTr="00AB73F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4F7" w14:textId="77777777" w:rsidR="00AB73F1" w:rsidRPr="004F7E58" w:rsidRDefault="00AB73F1" w:rsidP="00AB73F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9AC" w14:textId="3A07FCD3" w:rsidR="00AB73F1" w:rsidRPr="004F7E58" w:rsidRDefault="00AB73F1" w:rsidP="00AB73F1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I.4.A Funkcionalna jedinica za praćenje javnih preduzeća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45528F8" w14:textId="6E1942C7" w:rsidR="00AB73F1" w:rsidRPr="004F7E58" w:rsidRDefault="00AB73F1" w:rsidP="00AB73F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postignut u prethodnom periodu</w:t>
            </w:r>
          </w:p>
        </w:tc>
      </w:tr>
      <w:tr w:rsidR="00296FEA" w:rsidRPr="004F7E58" w14:paraId="30B5BD28" w14:textId="77777777" w:rsidTr="00AB73F1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1EAFE46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1597A4E" w14:textId="647A5CC1" w:rsidR="00296FEA" w:rsidRPr="004F7E58" w:rsidRDefault="000B6FC3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Za jedinicu je izrađena sistematizacija radnih mjesta (ukupno 4) i opis poslova jedinice je dio Uredbe o Generalnom sekretarijatu Vlade FbiH i Pravilnika o unutrašnjoj organizaciji i sistematizaciji radnih mjesta Generalnog sekretarijata Vlade FBIH. </w:t>
            </w:r>
            <w:r w:rsidR="00291878" w:rsidRPr="004F7E58">
              <w:rPr>
                <w:lang w:val="bs-Latn-BA"/>
              </w:rPr>
              <w:t>Jedinica trenutno ima jednog uposlenika.</w:t>
            </w:r>
          </w:p>
        </w:tc>
      </w:tr>
    </w:tbl>
    <w:p w14:paraId="056D22B0" w14:textId="24B16E10" w:rsidR="005B482B" w:rsidRPr="004F7E58" w:rsidRDefault="00AF468E" w:rsidP="00601F21">
      <w:pPr>
        <w:pStyle w:val="Heading2"/>
        <w:rPr>
          <w:b/>
          <w:noProof/>
          <w:color w:val="C00000"/>
          <w:sz w:val="32"/>
          <w:lang w:val="bs-Latn-BA"/>
        </w:rPr>
      </w:pPr>
      <w:r w:rsidRPr="004F7E58">
        <w:rPr>
          <w:noProof/>
          <w:lang w:val="bs-Latn-BA"/>
        </w:rPr>
        <w:br w:type="page"/>
      </w:r>
      <w:bookmarkStart w:id="12" w:name="_Toc113969959"/>
      <w:bookmarkStart w:id="13" w:name="_Toc115263384"/>
      <w:bookmarkStart w:id="14" w:name="_Toc113969960"/>
      <w:bookmarkStart w:id="15" w:name="_Toc115263385"/>
      <w:bookmarkStart w:id="16" w:name="_Toc214450223"/>
      <w:bookmarkEnd w:id="12"/>
      <w:bookmarkEnd w:id="13"/>
      <w:bookmarkEnd w:id="14"/>
      <w:bookmarkEnd w:id="15"/>
      <w:r w:rsidR="00355E6D" w:rsidRPr="004F7E58">
        <w:rPr>
          <w:b/>
          <w:noProof/>
          <w:color w:val="C00000"/>
          <w:sz w:val="32"/>
          <w:lang w:val="bs-Latn-BA"/>
        </w:rPr>
        <w:lastRenderedPageBreak/>
        <w:t>S</w:t>
      </w:r>
      <w:r w:rsidR="005B482B" w:rsidRPr="004F7E58">
        <w:rPr>
          <w:b/>
          <w:noProof/>
          <w:color w:val="C00000"/>
          <w:sz w:val="32"/>
          <w:lang w:val="bs-Latn-BA"/>
        </w:rPr>
        <w:t>tub II</w:t>
      </w:r>
      <w:r w:rsidR="00296FEA" w:rsidRPr="004F7E58">
        <w:rPr>
          <w:b/>
          <w:noProof/>
          <w:color w:val="C00000"/>
          <w:sz w:val="32"/>
          <w:lang w:val="bs-Latn-BA"/>
        </w:rPr>
        <w:t xml:space="preserve">: </w:t>
      </w:r>
      <w:r w:rsidR="005A26A9" w:rsidRPr="004F7E58">
        <w:rPr>
          <w:b/>
          <w:noProof/>
          <w:color w:val="C00000"/>
          <w:sz w:val="32"/>
          <w:lang w:val="bs-Latn-BA"/>
        </w:rPr>
        <w:t>JAVNI PRIHODI</w:t>
      </w:r>
      <w:bookmarkEnd w:id="16"/>
    </w:p>
    <w:p w14:paraId="594E952B" w14:textId="77777777" w:rsidR="00185F2D" w:rsidRPr="004F7E58" w:rsidRDefault="00185F2D" w:rsidP="00185F2D">
      <w:pPr>
        <w:rPr>
          <w:lang w:val="bs-Latn-BA"/>
        </w:rPr>
      </w:pPr>
    </w:p>
    <w:p w14:paraId="36BD6545" w14:textId="2D5F0A7D" w:rsidR="00185F2D" w:rsidRPr="004F7E58" w:rsidRDefault="00185F2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17" w:name="_Toc214450224"/>
      <w:r w:rsidRPr="004F7E58">
        <w:rPr>
          <w:b/>
          <w:color w:val="C00000"/>
          <w:lang w:val="bs-Latn-BA"/>
        </w:rPr>
        <w:t>Cilj stuba</w:t>
      </w:r>
      <w:bookmarkEnd w:id="17"/>
    </w:p>
    <w:p w14:paraId="18980B01" w14:textId="54573DB2" w:rsidR="00296FEA" w:rsidRPr="004F7E58" w:rsidRDefault="00E06726" w:rsidP="00296FEA">
      <w:pPr>
        <w:pStyle w:val="NormalPFM1"/>
        <w:rPr>
          <w:lang w:val="bs-Latn-BA"/>
        </w:rPr>
      </w:pPr>
      <w:r w:rsidRPr="004F7E58">
        <w:rPr>
          <w:lang w:val="bs-Latn-BA"/>
        </w:rPr>
        <w:t xml:space="preserve">Smanjenje nezaposlenosti, </w:t>
      </w:r>
      <w:r w:rsidR="00436912" w:rsidRPr="004F7E58">
        <w:rPr>
          <w:lang w:val="bs-Latn-BA"/>
        </w:rPr>
        <w:t>p</w:t>
      </w:r>
      <w:r w:rsidRPr="004F7E58">
        <w:rPr>
          <w:lang w:val="bs-Latn-BA"/>
        </w:rPr>
        <w:t xml:space="preserve">ovećanje </w:t>
      </w:r>
      <w:r w:rsidR="0062433D" w:rsidRPr="004F7E58">
        <w:rPr>
          <w:lang w:val="bs-Latn-BA"/>
        </w:rPr>
        <w:t>B</w:t>
      </w:r>
      <w:r w:rsidRPr="004F7E58">
        <w:rPr>
          <w:lang w:val="bs-Latn-BA"/>
        </w:rPr>
        <w:t>DP</w:t>
      </w:r>
      <w:r w:rsidR="00EC7972" w:rsidRPr="004F7E58">
        <w:rPr>
          <w:lang w:val="bs-Latn-BA"/>
        </w:rPr>
        <w:t>.</w:t>
      </w:r>
    </w:p>
    <w:p w14:paraId="0E63BF10" w14:textId="77777777" w:rsidR="00613D90" w:rsidRPr="004F7E58" w:rsidRDefault="00613D90" w:rsidP="00296FEA">
      <w:pPr>
        <w:pStyle w:val="NormalPFM1"/>
        <w:rPr>
          <w:noProof/>
          <w:lang w:val="bs-Latn-BA"/>
        </w:rPr>
      </w:pPr>
    </w:p>
    <w:p w14:paraId="1BEAF2D7" w14:textId="626911B5" w:rsidR="00296FEA" w:rsidRPr="004F7E58" w:rsidRDefault="00355E6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18" w:name="_Toc214450225"/>
      <w:r w:rsidRPr="004F7E58">
        <w:rPr>
          <w:b/>
          <w:color w:val="C00000"/>
          <w:lang w:val="bs-Latn-BA"/>
        </w:rPr>
        <w:t>Ostvarenje</w:t>
      </w:r>
      <w:r w:rsidR="00296FEA" w:rsidRPr="004F7E58">
        <w:rPr>
          <w:b/>
          <w:color w:val="C00000"/>
          <w:lang w:val="bs-Latn-BA"/>
        </w:rPr>
        <w:t xml:space="preserve"> rezultata stu</w:t>
      </w:r>
      <w:r w:rsidR="00B52EC2" w:rsidRPr="004F7E58">
        <w:rPr>
          <w:b/>
          <w:color w:val="C00000"/>
          <w:lang w:val="bs-Latn-BA"/>
        </w:rPr>
        <w:t>b</w:t>
      </w:r>
      <w:r w:rsidR="00296FEA" w:rsidRPr="004F7E58">
        <w:rPr>
          <w:b/>
          <w:color w:val="C00000"/>
          <w:lang w:val="bs-Latn-BA"/>
        </w:rPr>
        <w:t xml:space="preserve">a u </w:t>
      </w:r>
      <w:r w:rsidR="005A26A9" w:rsidRPr="004F7E58">
        <w:rPr>
          <w:b/>
          <w:color w:val="C00000"/>
          <w:lang w:val="bs-Latn-BA"/>
        </w:rPr>
        <w:t>202</w:t>
      </w:r>
      <w:r w:rsidR="00697110" w:rsidRPr="004F7E58">
        <w:rPr>
          <w:b/>
          <w:color w:val="C00000"/>
          <w:lang w:val="bs-Latn-BA"/>
        </w:rPr>
        <w:t>4</w:t>
      </w:r>
      <w:r w:rsidR="00296FEA" w:rsidRPr="004F7E58">
        <w:rPr>
          <w:b/>
          <w:color w:val="C00000"/>
          <w:lang w:val="bs-Latn-BA"/>
        </w:rPr>
        <w:t>. godini</w:t>
      </w:r>
      <w:bookmarkEnd w:id="18"/>
    </w:p>
    <w:p w14:paraId="1F72F4E7" w14:textId="77777777" w:rsidR="00296FEA" w:rsidRPr="004F7E58" w:rsidRDefault="00296FEA" w:rsidP="00296FEA">
      <w:pPr>
        <w:rPr>
          <w:lang w:val="bs-Latn-BA"/>
        </w:rPr>
      </w:pPr>
    </w:p>
    <w:p w14:paraId="20D12629" w14:textId="15C7AC4D" w:rsidR="00296FEA" w:rsidRPr="004F7E58" w:rsidRDefault="00436912" w:rsidP="00296FEA">
      <w:pPr>
        <w:rPr>
          <w:noProof/>
          <w:lang w:val="bs-Latn-BA"/>
        </w:rPr>
      </w:pPr>
      <w:r w:rsidRPr="004F7E58">
        <w:rPr>
          <w:lang w:val="bs-Latn-BA"/>
        </w:rPr>
        <w:t>Stub dva ima jednu ciljnu vrijednost koja prati kretanje javnih prihoda FBiH tokom implementacije strategije</w:t>
      </w:r>
      <w:r w:rsidR="003C3898" w:rsidRPr="004F7E58">
        <w:rPr>
          <w:lang w:val="bs-Latn-BA"/>
        </w:rPr>
        <w:t xml:space="preserve"> i ista je postignuta </w:t>
      </w:r>
      <w:r w:rsidR="009D05E6" w:rsidRPr="004F7E58">
        <w:rPr>
          <w:lang w:val="bs-Latn-BA"/>
        </w:rPr>
        <w:t>u 202</w:t>
      </w:r>
      <w:r w:rsidR="00697110" w:rsidRPr="004F7E58">
        <w:rPr>
          <w:lang w:val="bs-Latn-BA"/>
        </w:rPr>
        <w:t>4</w:t>
      </w:r>
      <w:r w:rsidR="009D05E6" w:rsidRPr="004F7E58">
        <w:rPr>
          <w:lang w:val="bs-Latn-BA"/>
        </w:rPr>
        <w:t>. godini.</w:t>
      </w:r>
      <w:r w:rsidRPr="004F7E58">
        <w:rPr>
          <w:lang w:val="bs-Latn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535"/>
      </w:tblGrid>
      <w:tr w:rsidR="00296FEA" w:rsidRPr="004F7E58" w14:paraId="35DDB45C" w14:textId="77777777" w:rsidTr="00CE1EF4">
        <w:trPr>
          <w:trHeight w:val="538"/>
        </w:trPr>
        <w:tc>
          <w:tcPr>
            <w:tcW w:w="5575" w:type="dxa"/>
            <w:vMerge w:val="restart"/>
            <w:vAlign w:val="center"/>
          </w:tcPr>
          <w:p w14:paraId="12B1C445" w14:textId="332F4F31" w:rsidR="00296FEA" w:rsidRPr="004F7E58" w:rsidRDefault="00CE1EF4" w:rsidP="00D97174">
            <w:pPr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</w:rPr>
              <w:drawing>
                <wp:inline distT="0" distB="0" distL="0" distR="0" wp14:anchorId="38FDE52A" wp14:editId="7F4D5857">
                  <wp:extent cx="2611866" cy="2507744"/>
                  <wp:effectExtent l="0" t="0" r="0" b="6985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48C34895" w14:textId="77777777" w:rsidR="00296FEA" w:rsidRPr="004F7E58" w:rsidRDefault="00296FEA" w:rsidP="00D97174">
            <w:pPr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Legenda</w:t>
            </w:r>
          </w:p>
        </w:tc>
        <w:tc>
          <w:tcPr>
            <w:tcW w:w="535" w:type="dxa"/>
            <w:vAlign w:val="center"/>
          </w:tcPr>
          <w:p w14:paraId="06C45AD8" w14:textId="77777777" w:rsidR="00296FEA" w:rsidRPr="004F7E58" w:rsidRDefault="00296FEA" w:rsidP="00D97174">
            <w:pPr>
              <w:jc w:val="center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#</w:t>
            </w:r>
          </w:p>
        </w:tc>
      </w:tr>
      <w:tr w:rsidR="00296FEA" w:rsidRPr="004F7E58" w14:paraId="18C8A885" w14:textId="77777777" w:rsidTr="00D97174">
        <w:trPr>
          <w:trHeight w:val="538"/>
        </w:trPr>
        <w:tc>
          <w:tcPr>
            <w:tcW w:w="5575" w:type="dxa"/>
            <w:vMerge/>
            <w:vAlign w:val="center"/>
          </w:tcPr>
          <w:p w14:paraId="155D077D" w14:textId="77777777" w:rsidR="00296FEA" w:rsidRPr="004F7E58" w:rsidRDefault="00296FEA" w:rsidP="00D97174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2CF506A0" w14:textId="77777777" w:rsidR="00296FEA" w:rsidRPr="004F7E58" w:rsidRDefault="00296FEA" w:rsidP="00D9717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0000"/>
          </w:tcPr>
          <w:p w14:paraId="4F0BF527" w14:textId="77777777" w:rsidR="00296FEA" w:rsidRPr="004F7E58" w:rsidRDefault="00296FEA" w:rsidP="00D97174">
            <w:pPr>
              <w:jc w:val="center"/>
              <w:rPr>
                <w:noProof/>
                <w:sz w:val="18"/>
              </w:rPr>
            </w:pPr>
          </w:p>
        </w:tc>
      </w:tr>
      <w:tr w:rsidR="00296FEA" w:rsidRPr="004F7E58" w14:paraId="0D7E79AD" w14:textId="77777777" w:rsidTr="00D97174">
        <w:trPr>
          <w:trHeight w:val="538"/>
        </w:trPr>
        <w:tc>
          <w:tcPr>
            <w:tcW w:w="5575" w:type="dxa"/>
            <w:vMerge/>
          </w:tcPr>
          <w:p w14:paraId="64F5B781" w14:textId="77777777" w:rsidR="00296FEA" w:rsidRPr="004F7E58" w:rsidRDefault="00296FEA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418DAAC0" w14:textId="77777777" w:rsidR="00296FEA" w:rsidRPr="004F7E58" w:rsidRDefault="00296FEA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djelomično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E599" w:themeFill="accent4" w:themeFillTint="66"/>
          </w:tcPr>
          <w:p w14:paraId="72DC6E40" w14:textId="77777777" w:rsidR="00296FEA" w:rsidRPr="004F7E58" w:rsidRDefault="00296FEA" w:rsidP="00D97174">
            <w:pPr>
              <w:jc w:val="center"/>
              <w:rPr>
                <w:noProof/>
                <w:sz w:val="18"/>
              </w:rPr>
            </w:pPr>
          </w:p>
        </w:tc>
      </w:tr>
      <w:tr w:rsidR="00296FEA" w:rsidRPr="004F7E58" w14:paraId="057DAD45" w14:textId="77777777" w:rsidTr="006216DE">
        <w:trPr>
          <w:trHeight w:val="538"/>
        </w:trPr>
        <w:tc>
          <w:tcPr>
            <w:tcW w:w="5575" w:type="dxa"/>
            <w:vMerge/>
          </w:tcPr>
          <w:p w14:paraId="480E8F07" w14:textId="77777777" w:rsidR="00296FEA" w:rsidRPr="004F7E58" w:rsidRDefault="00296FEA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7191EDAF" w14:textId="77777777" w:rsidR="00296FEA" w:rsidRPr="004F7E58" w:rsidRDefault="00296FEA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C5E0B3" w:themeFill="accent6" w:themeFillTint="66"/>
            <w:vAlign w:val="center"/>
          </w:tcPr>
          <w:p w14:paraId="0658533B" w14:textId="4A068212" w:rsidR="00296FEA" w:rsidRPr="004F7E58" w:rsidRDefault="00AD3FC4" w:rsidP="00EC7972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1</w:t>
            </w:r>
          </w:p>
        </w:tc>
      </w:tr>
      <w:tr w:rsidR="00296FEA" w:rsidRPr="004F7E58" w14:paraId="1D33240C" w14:textId="77777777" w:rsidTr="00D97174">
        <w:trPr>
          <w:trHeight w:val="538"/>
        </w:trPr>
        <w:tc>
          <w:tcPr>
            <w:tcW w:w="5575" w:type="dxa"/>
            <w:vMerge/>
          </w:tcPr>
          <w:p w14:paraId="416CD156" w14:textId="77777777" w:rsidR="00296FEA" w:rsidRPr="004F7E58" w:rsidRDefault="00296FEA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06A79C99" w14:textId="77777777" w:rsidR="00296FEA" w:rsidRPr="004F7E58" w:rsidRDefault="00296FEA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istekao</w:t>
            </w:r>
            <w:proofErr w:type="spellEnd"/>
          </w:p>
        </w:tc>
        <w:tc>
          <w:tcPr>
            <w:tcW w:w="535" w:type="dxa"/>
            <w:shd w:val="clear" w:color="auto" w:fill="F2F2F2" w:themeFill="background1" w:themeFillShade="F2"/>
          </w:tcPr>
          <w:p w14:paraId="672F5094" w14:textId="63F9A831" w:rsidR="00296FEA" w:rsidRPr="004F7E58" w:rsidRDefault="00296FEA" w:rsidP="00D97174">
            <w:pPr>
              <w:jc w:val="center"/>
              <w:rPr>
                <w:noProof/>
                <w:sz w:val="18"/>
              </w:rPr>
            </w:pPr>
          </w:p>
        </w:tc>
      </w:tr>
      <w:tr w:rsidR="00296FEA" w:rsidRPr="004F7E58" w14:paraId="1AB5987F" w14:textId="77777777" w:rsidTr="00D97174">
        <w:trPr>
          <w:trHeight w:val="538"/>
        </w:trPr>
        <w:tc>
          <w:tcPr>
            <w:tcW w:w="5575" w:type="dxa"/>
            <w:vMerge/>
          </w:tcPr>
          <w:p w14:paraId="4DFA9183" w14:textId="77777777" w:rsidR="00296FEA" w:rsidRPr="004F7E58" w:rsidRDefault="00296FEA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20AD2E6D" w14:textId="77777777" w:rsidR="00296FEA" w:rsidRPr="004F7E58" w:rsidRDefault="00296FEA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definirana</w:t>
            </w:r>
            <w:proofErr w:type="spellEnd"/>
          </w:p>
        </w:tc>
        <w:tc>
          <w:tcPr>
            <w:tcW w:w="535" w:type="dxa"/>
            <w:shd w:val="clear" w:color="auto" w:fill="FFCCFF"/>
          </w:tcPr>
          <w:p w14:paraId="2EDACB4A" w14:textId="77777777" w:rsidR="00296FEA" w:rsidRPr="004F7E58" w:rsidRDefault="00296FEA" w:rsidP="00D97174">
            <w:pPr>
              <w:jc w:val="center"/>
              <w:rPr>
                <w:noProof/>
                <w:sz w:val="18"/>
              </w:rPr>
            </w:pPr>
          </w:p>
        </w:tc>
      </w:tr>
    </w:tbl>
    <w:p w14:paraId="43A805F8" w14:textId="77777777" w:rsidR="00296FEA" w:rsidRPr="004F7E58" w:rsidRDefault="00296FEA" w:rsidP="00296FEA">
      <w:pPr>
        <w:rPr>
          <w:noProof/>
        </w:rPr>
      </w:pPr>
    </w:p>
    <w:p w14:paraId="7C515F20" w14:textId="707BBAEB" w:rsidR="00317457" w:rsidRPr="004F7E58" w:rsidRDefault="00BD747B" w:rsidP="00317457">
      <w:pPr>
        <w:rPr>
          <w:noProof/>
        </w:rPr>
      </w:pPr>
      <w:r w:rsidRPr="004F7E58">
        <w:rPr>
          <w:noProof/>
        </w:rPr>
        <w:t xml:space="preserve">Ciljana vrijednost za </w:t>
      </w:r>
      <w:r w:rsidR="00943989" w:rsidRPr="004F7E58">
        <w:rPr>
          <w:noProof/>
        </w:rPr>
        <w:t>202</w:t>
      </w:r>
      <w:r w:rsidR="00697110" w:rsidRPr="004F7E58">
        <w:rPr>
          <w:noProof/>
        </w:rPr>
        <w:t>4</w:t>
      </w:r>
      <w:r w:rsidRPr="004F7E58">
        <w:rPr>
          <w:noProof/>
        </w:rPr>
        <w:t>. godinu je postignuta</w:t>
      </w:r>
      <w:r w:rsidR="009D05E6" w:rsidRPr="004F7E58">
        <w:rPr>
          <w:noProof/>
        </w:rPr>
        <w:t xml:space="preserve"> </w:t>
      </w:r>
      <w:r w:rsidR="00CB5438" w:rsidRPr="004F7E58">
        <w:rPr>
          <w:noProof/>
        </w:rPr>
        <w:t>i</w:t>
      </w:r>
      <w:r w:rsidR="009D05E6" w:rsidRPr="004F7E58">
        <w:rPr>
          <w:noProof/>
        </w:rPr>
        <w:t xml:space="preserve"> sa aspekta nominalnog iznosa prikupljenih prihoda kao i stope rasta u odnosu na prethodnu godinu</w:t>
      </w:r>
      <w:r w:rsidRPr="004F7E58">
        <w:rPr>
          <w:noProof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46"/>
        <w:gridCol w:w="3065"/>
        <w:gridCol w:w="2016"/>
        <w:gridCol w:w="2323"/>
      </w:tblGrid>
      <w:tr w:rsidR="00317457" w:rsidRPr="004F7E58" w14:paraId="27ABDE2A" w14:textId="77777777" w:rsidTr="009E2172">
        <w:tc>
          <w:tcPr>
            <w:tcW w:w="1946" w:type="dxa"/>
            <w:shd w:val="clear" w:color="auto" w:fill="D9E2F3" w:themeFill="accent5" w:themeFillTint="33"/>
          </w:tcPr>
          <w:p w14:paraId="58BB5C17" w14:textId="77777777" w:rsidR="00317457" w:rsidRPr="004F7E58" w:rsidRDefault="00317457" w:rsidP="009E2172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Rezultat</w:t>
            </w:r>
          </w:p>
        </w:tc>
        <w:tc>
          <w:tcPr>
            <w:tcW w:w="3065" w:type="dxa"/>
            <w:shd w:val="clear" w:color="auto" w:fill="D9E2F3" w:themeFill="accent5" w:themeFillTint="33"/>
          </w:tcPr>
          <w:p w14:paraId="26C8B5CC" w14:textId="77777777" w:rsidR="00317457" w:rsidRPr="004F7E58" w:rsidRDefault="00317457" w:rsidP="009E2172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Indikator</w:t>
            </w:r>
          </w:p>
        </w:tc>
        <w:tc>
          <w:tcPr>
            <w:tcW w:w="2016" w:type="dxa"/>
            <w:shd w:val="clear" w:color="auto" w:fill="D9E2F3" w:themeFill="accent5" w:themeFillTint="33"/>
          </w:tcPr>
          <w:p w14:paraId="7CF32BF9" w14:textId="16AD336A" w:rsidR="00317457" w:rsidRPr="004F7E58" w:rsidRDefault="00317457" w:rsidP="009E2172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Ciljna vrijednost u 202</w:t>
            </w:r>
            <w:r w:rsidR="008A55E8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  <w:tc>
          <w:tcPr>
            <w:tcW w:w="2323" w:type="dxa"/>
            <w:shd w:val="clear" w:color="auto" w:fill="D9E2F3" w:themeFill="accent5" w:themeFillTint="33"/>
          </w:tcPr>
          <w:p w14:paraId="17EAD9A2" w14:textId="6D4DF618" w:rsidR="00317457" w:rsidRPr="004F7E58" w:rsidRDefault="00317457" w:rsidP="009E2172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Ostvarenje u 202</w:t>
            </w:r>
            <w:r w:rsidR="008A55E8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317457" w:rsidRPr="004F7E58" w14:paraId="01E214FE" w14:textId="77777777" w:rsidTr="009E2172">
        <w:tc>
          <w:tcPr>
            <w:tcW w:w="1946" w:type="dxa"/>
            <w:tcBorders>
              <w:bottom w:val="single" w:sz="4" w:space="0" w:color="auto"/>
            </w:tcBorders>
          </w:tcPr>
          <w:p w14:paraId="0776C196" w14:textId="6D062AB3" w:rsidR="00317457" w:rsidRPr="004F7E58" w:rsidRDefault="005A26A9" w:rsidP="009E2172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II.A Povećanje javnih prihoda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71ED402D" w14:textId="549B0BF7" w:rsidR="00317457" w:rsidRPr="004F7E58" w:rsidRDefault="005A26A9" w:rsidP="009E2172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II.A.a Kretanje javnih prihoda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77E22BB7" w14:textId="77777777" w:rsidR="008A55E8" w:rsidRPr="004F7E58" w:rsidRDefault="008A55E8" w:rsidP="008A55E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8.273,0 mil. KM</w:t>
            </w:r>
          </w:p>
          <w:p w14:paraId="3AB3FE32" w14:textId="77777777" w:rsidR="008A55E8" w:rsidRPr="004F7E58" w:rsidRDefault="008A55E8" w:rsidP="008A55E8">
            <w:pPr>
              <w:pStyle w:val="NormalPFM1"/>
              <w:rPr>
                <w:noProof/>
                <w:lang w:val="bs-Latn-BA"/>
              </w:rPr>
            </w:pPr>
          </w:p>
          <w:p w14:paraId="35C3F064" w14:textId="262BA19A" w:rsidR="00317457" w:rsidRPr="004F7E58" w:rsidRDefault="008A55E8" w:rsidP="008A55E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4,30%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8E9F17D" w14:textId="144AB8E6" w:rsidR="00317457" w:rsidRPr="004F7E58" w:rsidRDefault="006F20B3" w:rsidP="006200AB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Ciljna vrijednost postignuta</w:t>
            </w:r>
          </w:p>
        </w:tc>
      </w:tr>
      <w:tr w:rsidR="00317457" w:rsidRPr="004F7E58" w14:paraId="7D5689F6" w14:textId="77777777" w:rsidTr="009E2172"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BF9D0" w14:textId="77777777" w:rsidR="00317457" w:rsidRPr="004F7E58" w:rsidRDefault="00317457" w:rsidP="009E2172">
            <w:pPr>
              <w:pStyle w:val="NormalPFM1"/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D4351" w14:textId="342F7BC5" w:rsidR="006C5EB8" w:rsidRPr="004F7E58" w:rsidRDefault="00BD747B" w:rsidP="006C5EB8">
            <w:pPr>
              <w:pStyle w:val="NormalPFM1"/>
            </w:pPr>
            <w:proofErr w:type="spellStart"/>
            <w:r w:rsidRPr="004F7E58">
              <w:t>Prihodi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tokom</w:t>
            </w:r>
            <w:proofErr w:type="spellEnd"/>
            <w:r w:rsidRPr="004F7E58">
              <w:t xml:space="preserve"> </w:t>
            </w:r>
            <w:r w:rsidR="007305BD" w:rsidRPr="004F7E58">
              <w:t>202</w:t>
            </w:r>
            <w:r w:rsidR="008A55E8" w:rsidRPr="004F7E58">
              <w:t>4</w:t>
            </w:r>
            <w:r w:rsidR="007305BD" w:rsidRPr="004F7E58">
              <w:t xml:space="preserve">. </w:t>
            </w:r>
            <w:proofErr w:type="spellStart"/>
            <w:r w:rsidRPr="004F7E58">
              <w:t>godine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izvršeni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iznosu</w:t>
            </w:r>
            <w:proofErr w:type="spellEnd"/>
            <w:r w:rsidRPr="004F7E58">
              <w:t xml:space="preserve"> od </w:t>
            </w:r>
            <w:r w:rsidR="008A55E8" w:rsidRPr="004F7E58">
              <w:t xml:space="preserve">13.638,7 </w:t>
            </w:r>
            <w:proofErr w:type="spellStart"/>
            <w:r w:rsidRPr="004F7E58">
              <w:t>miliona</w:t>
            </w:r>
            <w:proofErr w:type="spellEnd"/>
            <w:r w:rsidRPr="004F7E58">
              <w:t xml:space="preserve"> KM</w:t>
            </w:r>
            <w:r w:rsidR="007305BD" w:rsidRPr="004F7E58">
              <w:t xml:space="preserve"> (</w:t>
            </w:r>
            <w:r w:rsidR="008A55E8" w:rsidRPr="004F7E58">
              <w:t>9.6</w:t>
            </w:r>
            <w:r w:rsidR="00D135A9" w:rsidRPr="004F7E58">
              <w:t xml:space="preserve">% </w:t>
            </w:r>
            <w:proofErr w:type="spellStart"/>
            <w:r w:rsidR="00D135A9" w:rsidRPr="004F7E58">
              <w:t>rasta</w:t>
            </w:r>
            <w:proofErr w:type="spellEnd"/>
            <w:r w:rsidR="007305BD" w:rsidRPr="004F7E58">
              <w:t xml:space="preserve"> u </w:t>
            </w:r>
            <w:proofErr w:type="spellStart"/>
            <w:r w:rsidR="007305BD" w:rsidRPr="004F7E58">
              <w:t>odnosu</w:t>
            </w:r>
            <w:proofErr w:type="spellEnd"/>
            <w:r w:rsidR="007305BD" w:rsidRPr="004F7E58">
              <w:t xml:space="preserve"> </w:t>
            </w:r>
            <w:proofErr w:type="spellStart"/>
            <w:r w:rsidR="007305BD" w:rsidRPr="004F7E58">
              <w:t>na</w:t>
            </w:r>
            <w:proofErr w:type="spellEnd"/>
            <w:r w:rsidR="007305BD" w:rsidRPr="004F7E58">
              <w:t xml:space="preserve"> 202</w:t>
            </w:r>
            <w:r w:rsidR="008A55E8" w:rsidRPr="004F7E58">
              <w:t>3</w:t>
            </w:r>
            <w:r w:rsidR="007305BD" w:rsidRPr="004F7E58">
              <w:t xml:space="preserve">. </w:t>
            </w:r>
            <w:proofErr w:type="spellStart"/>
            <w:r w:rsidR="007305BD" w:rsidRPr="004F7E58">
              <w:t>godin</w:t>
            </w:r>
            <w:r w:rsidR="00D135A9" w:rsidRPr="004F7E58">
              <w:t>u</w:t>
            </w:r>
            <w:proofErr w:type="spellEnd"/>
            <w:r w:rsidR="007305BD" w:rsidRPr="004F7E58">
              <w:t>)</w:t>
            </w:r>
            <w:r w:rsidR="006C5EB8" w:rsidRPr="004F7E58">
              <w:t xml:space="preserve">. </w:t>
            </w:r>
          </w:p>
          <w:p w14:paraId="52BB7A7A" w14:textId="113C3ACB" w:rsidR="00317457" w:rsidRPr="004F7E58" w:rsidRDefault="00317457" w:rsidP="00D135A9">
            <w:pPr>
              <w:pStyle w:val="NormalPFM1"/>
              <w:rPr>
                <w:noProof/>
                <w:lang w:val="en-US"/>
              </w:rPr>
            </w:pPr>
          </w:p>
        </w:tc>
      </w:tr>
    </w:tbl>
    <w:p w14:paraId="02410D66" w14:textId="77777777" w:rsidR="00317457" w:rsidRPr="004F7E58" w:rsidRDefault="00317457" w:rsidP="00317457">
      <w:pPr>
        <w:rPr>
          <w:lang w:val="bs-Latn-BA"/>
        </w:rPr>
      </w:pPr>
    </w:p>
    <w:p w14:paraId="1AFB2D19" w14:textId="69F87FD0" w:rsidR="00317457" w:rsidRPr="004F7E58" w:rsidRDefault="00EC7972" w:rsidP="006216DE">
      <w:pPr>
        <w:pStyle w:val="Heading3"/>
        <w:rPr>
          <w:b/>
          <w:color w:val="C00000"/>
          <w:lang w:val="bs-Latn-BA"/>
        </w:rPr>
      </w:pPr>
      <w:bookmarkStart w:id="19" w:name="_Toc109292571"/>
      <w:bookmarkStart w:id="20" w:name="_Toc214450226"/>
      <w:r w:rsidRPr="004F7E58">
        <w:rPr>
          <w:b/>
          <w:color w:val="C00000"/>
          <w:lang w:val="bs-Latn-BA"/>
        </w:rPr>
        <w:t xml:space="preserve">4.2.3 </w:t>
      </w:r>
      <w:r w:rsidR="00436912" w:rsidRPr="004F7E58">
        <w:rPr>
          <w:b/>
          <w:color w:val="C00000"/>
          <w:lang w:val="bs-Latn-BA"/>
        </w:rPr>
        <w:t>Statistički pregled statusa aktivnosti</w:t>
      </w:r>
      <w:r w:rsidR="00436912" w:rsidRPr="004F7E58" w:rsidDel="00160F36">
        <w:rPr>
          <w:b/>
          <w:color w:val="C00000"/>
          <w:lang w:val="bs-Latn-BA"/>
        </w:rPr>
        <w:t xml:space="preserve"> </w:t>
      </w:r>
      <w:r w:rsidR="00436912" w:rsidRPr="004F7E58">
        <w:rPr>
          <w:b/>
          <w:color w:val="C00000"/>
          <w:lang w:val="bs-Latn-BA"/>
        </w:rPr>
        <w:t>i rezultata mjere</w:t>
      </w:r>
      <w:bookmarkEnd w:id="19"/>
      <w:bookmarkEnd w:id="20"/>
    </w:p>
    <w:p w14:paraId="0ADE551D" w14:textId="77777777" w:rsidR="00436912" w:rsidRPr="004F7E58" w:rsidRDefault="00436912" w:rsidP="00436912">
      <w:pPr>
        <w:rPr>
          <w:lang w:val="bs-Latn-BA"/>
        </w:rPr>
      </w:pPr>
    </w:p>
    <w:tbl>
      <w:tblPr>
        <w:tblStyle w:val="TableGrid"/>
        <w:tblpPr w:leftFromText="180" w:rightFromText="180" w:vertAnchor="text" w:horzAnchor="margin" w:tblpY="113"/>
        <w:tblW w:w="9350" w:type="dxa"/>
        <w:tblLook w:val="04A0" w:firstRow="1" w:lastRow="0" w:firstColumn="1" w:lastColumn="0" w:noHBand="0" w:noVBand="1"/>
      </w:tblPr>
      <w:tblGrid>
        <w:gridCol w:w="562"/>
        <w:gridCol w:w="3402"/>
        <w:gridCol w:w="355"/>
        <w:gridCol w:w="356"/>
        <w:gridCol w:w="3825"/>
        <w:gridCol w:w="425"/>
        <w:gridCol w:w="425"/>
      </w:tblGrid>
      <w:tr w:rsidR="00317457" w:rsidRPr="004F7E58" w14:paraId="6FEBA516" w14:textId="77777777" w:rsidTr="009E2172">
        <w:trPr>
          <w:trHeight w:val="20"/>
        </w:trPr>
        <w:tc>
          <w:tcPr>
            <w:tcW w:w="562" w:type="dxa"/>
          </w:tcPr>
          <w:p w14:paraId="30FDE9C1" w14:textId="62107BAD" w:rsidR="00317457" w:rsidRPr="004F7E58" w:rsidRDefault="00317457" w:rsidP="009E2172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lastRenderedPageBreak/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.1</w:t>
            </w:r>
          </w:p>
        </w:tc>
        <w:tc>
          <w:tcPr>
            <w:tcW w:w="8788" w:type="dxa"/>
            <w:gridSpan w:val="6"/>
          </w:tcPr>
          <w:p w14:paraId="17FD6A81" w14:textId="02749079" w:rsidR="00317457" w:rsidRPr="004F7E58" w:rsidRDefault="005A26A9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Unaprjeđenje pravnog okvira javnih prihoda</w:t>
            </w:r>
          </w:p>
        </w:tc>
      </w:tr>
      <w:tr w:rsidR="00317457" w:rsidRPr="004F7E58" w14:paraId="3CFE9F8F" w14:textId="77777777" w:rsidTr="009E2172">
        <w:trPr>
          <w:trHeight w:val="20"/>
        </w:trPr>
        <w:tc>
          <w:tcPr>
            <w:tcW w:w="562" w:type="dxa"/>
          </w:tcPr>
          <w:p w14:paraId="3E292F1C" w14:textId="2D658353" w:rsidR="00317457" w:rsidRPr="004F7E58" w:rsidRDefault="00317457" w:rsidP="009E2172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.2</w:t>
            </w:r>
          </w:p>
        </w:tc>
        <w:tc>
          <w:tcPr>
            <w:tcW w:w="8788" w:type="dxa"/>
            <w:gridSpan w:val="6"/>
          </w:tcPr>
          <w:p w14:paraId="4D011139" w14:textId="77DAE696" w:rsidR="00317457" w:rsidRPr="004F7E58" w:rsidRDefault="001F6601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Unaprjeđenje i harmonizacija pravnog okvira u skladu sa međunarodnom pomoći i administrativnom saradnjom</w:t>
            </w:r>
          </w:p>
        </w:tc>
      </w:tr>
      <w:tr w:rsidR="00317457" w:rsidRPr="004F7E58" w14:paraId="57FE0940" w14:textId="77777777" w:rsidTr="009E2172">
        <w:trPr>
          <w:trHeight w:val="20"/>
        </w:trPr>
        <w:tc>
          <w:tcPr>
            <w:tcW w:w="562" w:type="dxa"/>
          </w:tcPr>
          <w:p w14:paraId="0F3C015A" w14:textId="2A6BDB13" w:rsidR="00317457" w:rsidRPr="004F7E58" w:rsidRDefault="00317457" w:rsidP="009E2172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.3</w:t>
            </w:r>
          </w:p>
        </w:tc>
        <w:tc>
          <w:tcPr>
            <w:tcW w:w="8788" w:type="dxa"/>
            <w:gridSpan w:val="6"/>
          </w:tcPr>
          <w:p w14:paraId="0C0C895A" w14:textId="7500DD69" w:rsidR="00317457" w:rsidRPr="004F7E58" w:rsidRDefault="00D71978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Suzbijanje sive ekonomije</w:t>
            </w:r>
          </w:p>
        </w:tc>
      </w:tr>
      <w:tr w:rsidR="00317457" w:rsidRPr="004F7E58" w14:paraId="0CD55BCE" w14:textId="77777777" w:rsidTr="009E2172">
        <w:trPr>
          <w:trHeight w:val="20"/>
        </w:trPr>
        <w:tc>
          <w:tcPr>
            <w:tcW w:w="562" w:type="dxa"/>
          </w:tcPr>
          <w:p w14:paraId="47B5C7FF" w14:textId="06C02C2A" w:rsidR="00317457" w:rsidRPr="004F7E58" w:rsidRDefault="00317457" w:rsidP="009E2172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.4</w:t>
            </w:r>
          </w:p>
        </w:tc>
        <w:tc>
          <w:tcPr>
            <w:tcW w:w="8788" w:type="dxa"/>
            <w:gridSpan w:val="6"/>
          </w:tcPr>
          <w:p w14:paraId="23C6631F" w14:textId="7AE8ECAF" w:rsidR="00317457" w:rsidRPr="004F7E58" w:rsidRDefault="000C59A2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Unaprijediti poslovno okruženje uklanjanjem administrativnih barijera</w:t>
            </w:r>
          </w:p>
        </w:tc>
      </w:tr>
      <w:tr w:rsidR="00317457" w:rsidRPr="004F7E58" w14:paraId="6E7A49AA" w14:textId="77777777" w:rsidTr="009E2172">
        <w:tc>
          <w:tcPr>
            <w:tcW w:w="9350" w:type="dxa"/>
            <w:gridSpan w:val="7"/>
          </w:tcPr>
          <w:p w14:paraId="6303A21C" w14:textId="125B019F" w:rsidR="00FF045B" w:rsidRPr="004F7E58" w:rsidRDefault="00A707C8" w:rsidP="005112BA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fr-FR"/>
              </w:rPr>
              <w:t xml:space="preserve">Od aktivnosti koje su </w:t>
            </w:r>
            <w:r w:rsidR="00BD178C" w:rsidRPr="004F7E58">
              <w:rPr>
                <w:noProof/>
                <w:lang w:val="fr-FR"/>
              </w:rPr>
              <w:t>bile planir</w:t>
            </w:r>
            <w:r w:rsidR="0007314A" w:rsidRPr="004F7E58">
              <w:rPr>
                <w:noProof/>
                <w:lang w:val="fr-FR"/>
              </w:rPr>
              <w:t>a</w:t>
            </w:r>
            <w:r w:rsidR="00BD178C" w:rsidRPr="004F7E58">
              <w:rPr>
                <w:noProof/>
                <w:lang w:val="fr-FR"/>
              </w:rPr>
              <w:t xml:space="preserve">ne </w:t>
            </w:r>
            <w:r w:rsidR="0007314A" w:rsidRPr="004F7E58">
              <w:rPr>
                <w:noProof/>
                <w:lang w:val="fr-FR"/>
              </w:rPr>
              <w:t xml:space="preserve">u </w:t>
            </w:r>
            <w:r w:rsidRPr="004F7E58">
              <w:rPr>
                <w:noProof/>
                <w:lang w:val="fr-FR"/>
              </w:rPr>
              <w:t>202</w:t>
            </w:r>
            <w:r w:rsidR="008273DB" w:rsidRPr="004F7E58">
              <w:rPr>
                <w:noProof/>
                <w:lang w:val="fr-FR"/>
              </w:rPr>
              <w:t>4</w:t>
            </w:r>
            <w:r w:rsidRPr="004F7E58">
              <w:rPr>
                <w:noProof/>
                <w:lang w:val="fr-FR"/>
              </w:rPr>
              <w:t>. godin</w:t>
            </w:r>
            <w:r w:rsidR="0007314A" w:rsidRPr="004F7E58">
              <w:rPr>
                <w:noProof/>
                <w:lang w:val="fr-FR"/>
              </w:rPr>
              <w:t>i</w:t>
            </w:r>
            <w:r w:rsidRPr="004F7E58">
              <w:rPr>
                <w:noProof/>
                <w:lang w:val="fr-FR"/>
              </w:rPr>
              <w:t xml:space="preserve">, </w:t>
            </w:r>
            <w:r w:rsidR="008273DB" w:rsidRPr="004F7E58">
              <w:rPr>
                <w:noProof/>
                <w:lang w:val="fr-FR"/>
              </w:rPr>
              <w:t xml:space="preserve">pet </w:t>
            </w:r>
            <w:r w:rsidR="00BD178C" w:rsidRPr="004F7E58">
              <w:rPr>
                <w:noProof/>
                <w:lang w:val="fr-FR"/>
              </w:rPr>
              <w:t xml:space="preserve">je </w:t>
            </w:r>
            <w:r w:rsidRPr="004F7E58">
              <w:rPr>
                <w:noProof/>
                <w:lang w:val="fr-FR"/>
              </w:rPr>
              <w:t xml:space="preserve">u toku. </w:t>
            </w:r>
            <w:r w:rsidR="008273DB" w:rsidRPr="004F7E58">
              <w:rPr>
                <w:noProof/>
                <w:lang w:val="fr-FR"/>
              </w:rPr>
              <w:t xml:space="preserve">Jedna </w:t>
            </w:r>
            <w:r w:rsidR="00FF045B" w:rsidRPr="004F7E58">
              <w:rPr>
                <w:noProof/>
                <w:lang w:val="fr-FR"/>
              </w:rPr>
              <w:t xml:space="preserve">aktivnost </w:t>
            </w:r>
            <w:r w:rsidR="008273DB" w:rsidRPr="004F7E58">
              <w:rPr>
                <w:noProof/>
                <w:lang w:val="fr-FR"/>
              </w:rPr>
              <w:t xml:space="preserve">je </w:t>
            </w:r>
            <w:r w:rsidR="00FF045B" w:rsidRPr="004F7E58">
              <w:rPr>
                <w:noProof/>
                <w:lang w:val="fr-FR"/>
              </w:rPr>
              <w:t>završen</w:t>
            </w:r>
            <w:r w:rsidR="008273DB" w:rsidRPr="004F7E58">
              <w:rPr>
                <w:noProof/>
                <w:lang w:val="fr-FR"/>
              </w:rPr>
              <w:t>a</w:t>
            </w:r>
            <w:r w:rsidR="00FF045B" w:rsidRPr="004F7E58">
              <w:rPr>
                <w:noProof/>
                <w:lang w:val="fr-FR"/>
              </w:rPr>
              <w:t xml:space="preserve"> u izvještajnom periodu a </w:t>
            </w:r>
            <w:r w:rsidR="008273DB" w:rsidRPr="004F7E58">
              <w:rPr>
                <w:noProof/>
                <w:lang w:val="fr-FR"/>
              </w:rPr>
              <w:t>tri u prethodnom</w:t>
            </w:r>
            <w:r w:rsidR="007044BF" w:rsidRPr="004F7E58">
              <w:rPr>
                <w:noProof/>
                <w:lang w:val="fr-FR"/>
              </w:rPr>
              <w:t xml:space="preserve">. </w:t>
            </w:r>
            <w:r w:rsidR="008273DB" w:rsidRPr="004F7E58">
              <w:rPr>
                <w:noProof/>
                <w:lang w:val="fr-FR"/>
              </w:rPr>
              <w:t xml:space="preserve">Jedna </w:t>
            </w:r>
            <w:r w:rsidR="00516B25" w:rsidRPr="004F7E58">
              <w:rPr>
                <w:noProof/>
                <w:lang w:val="fr-FR"/>
              </w:rPr>
              <w:t>aktivnost ni</w:t>
            </w:r>
            <w:r w:rsidR="008273DB" w:rsidRPr="004F7E58">
              <w:rPr>
                <w:noProof/>
                <w:lang w:val="fr-FR"/>
              </w:rPr>
              <w:t>je</w:t>
            </w:r>
            <w:r w:rsidR="00516B25" w:rsidRPr="004F7E58">
              <w:rPr>
                <w:noProof/>
                <w:lang w:val="fr-FR"/>
              </w:rPr>
              <w:t xml:space="preserve"> zapo</w:t>
            </w:r>
            <w:r w:rsidR="005112BA" w:rsidRPr="004F7E58">
              <w:rPr>
                <w:noProof/>
                <w:lang w:val="bs-Latn-BA"/>
              </w:rPr>
              <w:t>čet</w:t>
            </w:r>
            <w:r w:rsidR="00FF045B" w:rsidRPr="004F7E58">
              <w:rPr>
                <w:noProof/>
                <w:lang w:val="bs-Latn-BA"/>
              </w:rPr>
              <w:t>e</w:t>
            </w:r>
            <w:r w:rsidR="005112BA" w:rsidRPr="004F7E58">
              <w:rPr>
                <w:noProof/>
                <w:lang w:val="bs-Latn-BA"/>
              </w:rPr>
              <w:t xml:space="preserve"> po planu</w:t>
            </w:r>
            <w:r w:rsidR="008273DB" w:rsidRPr="004F7E58">
              <w:rPr>
                <w:noProof/>
                <w:lang w:val="bs-Latn-BA"/>
              </w:rPr>
              <w:t xml:space="preserve">, a </w:t>
            </w:r>
            <w:r w:rsidR="004F7E58" w:rsidRPr="004F7E58">
              <w:rPr>
                <w:noProof/>
                <w:lang w:val="bs-Latn-BA"/>
              </w:rPr>
              <w:t xml:space="preserve">za </w:t>
            </w:r>
            <w:r w:rsidR="008273DB" w:rsidRPr="004F7E58">
              <w:rPr>
                <w:noProof/>
                <w:lang w:val="bs-Latn-BA"/>
              </w:rPr>
              <w:t>deset aktivnosti rok nije započeo</w:t>
            </w:r>
            <w:r w:rsidR="00516B25" w:rsidRPr="004F7E58">
              <w:rPr>
                <w:noProof/>
                <w:lang w:val="bs-Latn-BA"/>
              </w:rPr>
              <w:t xml:space="preserve">. </w:t>
            </w:r>
            <w:r w:rsidR="008273DB" w:rsidRPr="004F7E58">
              <w:rPr>
                <w:noProof/>
                <w:lang w:val="bs-Latn-BA"/>
              </w:rPr>
              <w:t xml:space="preserve">Tri </w:t>
            </w:r>
            <w:r w:rsidR="0068081A" w:rsidRPr="004F7E58">
              <w:rPr>
                <w:noProof/>
                <w:lang w:val="bs-Latn-BA"/>
              </w:rPr>
              <w:t>rezultat</w:t>
            </w:r>
            <w:r w:rsidR="008273DB" w:rsidRPr="004F7E58">
              <w:rPr>
                <w:noProof/>
                <w:lang w:val="bs-Latn-BA"/>
              </w:rPr>
              <w:t>a</w:t>
            </w:r>
            <w:r w:rsidR="0068081A" w:rsidRPr="004F7E58">
              <w:rPr>
                <w:noProof/>
                <w:lang w:val="bs-Latn-BA"/>
              </w:rPr>
              <w:t xml:space="preserve"> </w:t>
            </w:r>
            <w:r w:rsidR="00100F61" w:rsidRPr="004F7E58">
              <w:rPr>
                <w:noProof/>
                <w:lang w:val="bs-Latn-BA"/>
              </w:rPr>
              <w:t xml:space="preserve">mjere </w:t>
            </w:r>
            <w:r w:rsidR="008273DB" w:rsidRPr="004F7E58">
              <w:rPr>
                <w:noProof/>
                <w:lang w:val="bs-Latn-BA"/>
              </w:rPr>
              <w:t xml:space="preserve">su </w:t>
            </w:r>
            <w:r w:rsidR="0068081A" w:rsidRPr="004F7E58">
              <w:rPr>
                <w:noProof/>
                <w:lang w:val="bs-Latn-BA"/>
              </w:rPr>
              <w:t>postignut</w:t>
            </w:r>
            <w:r w:rsidR="008273DB" w:rsidRPr="004F7E58">
              <w:rPr>
                <w:noProof/>
                <w:lang w:val="bs-Latn-BA"/>
              </w:rPr>
              <w:t>a</w:t>
            </w:r>
            <w:r w:rsidR="00BD178C" w:rsidRPr="004F7E58">
              <w:rPr>
                <w:noProof/>
                <w:lang w:val="bs-Latn-BA"/>
              </w:rPr>
              <w:t xml:space="preserve"> u prethodnom periodu</w:t>
            </w:r>
            <w:r w:rsidR="0068081A" w:rsidRPr="004F7E58">
              <w:rPr>
                <w:noProof/>
                <w:lang w:val="bs-Latn-BA"/>
              </w:rPr>
              <w:t xml:space="preserve">, </w:t>
            </w:r>
            <w:r w:rsidR="008273DB" w:rsidRPr="004F7E58">
              <w:rPr>
                <w:noProof/>
                <w:lang w:val="bs-Latn-BA"/>
              </w:rPr>
              <w:t xml:space="preserve">jedan je </w:t>
            </w:r>
            <w:r w:rsidR="0068081A" w:rsidRPr="004F7E58">
              <w:rPr>
                <w:noProof/>
                <w:lang w:val="bs-Latn-BA"/>
              </w:rPr>
              <w:t>djelimično postignut</w:t>
            </w:r>
            <w:r w:rsidR="00FF045B" w:rsidRPr="004F7E58">
              <w:rPr>
                <w:noProof/>
                <w:lang w:val="bs-Latn-BA"/>
              </w:rPr>
              <w:t xml:space="preserve">, a </w:t>
            </w:r>
            <w:r w:rsidR="008273DB" w:rsidRPr="004F7E58">
              <w:rPr>
                <w:noProof/>
                <w:lang w:val="bs-Latn-BA"/>
              </w:rPr>
              <w:t xml:space="preserve">jedan u </w:t>
            </w:r>
            <w:r w:rsidR="00FF045B" w:rsidRPr="004F7E58">
              <w:rPr>
                <w:noProof/>
                <w:lang w:val="bs-Latn-BA"/>
              </w:rPr>
              <w:t>potpunosti</w:t>
            </w:r>
            <w:r w:rsidRPr="004F7E58">
              <w:rPr>
                <w:noProof/>
                <w:lang w:val="bs-Latn-BA"/>
              </w:rPr>
              <w:t xml:space="preserve">. </w:t>
            </w:r>
            <w:r w:rsidR="007D0E57" w:rsidRPr="004F7E58">
              <w:rPr>
                <w:noProof/>
                <w:lang w:val="bs-Latn-BA"/>
              </w:rPr>
              <w:t>Za</w:t>
            </w:r>
            <w:r w:rsidR="00100F61" w:rsidRPr="004F7E58">
              <w:rPr>
                <w:noProof/>
                <w:lang w:val="bs-Latn-BA"/>
              </w:rPr>
              <w:t xml:space="preserve"> </w:t>
            </w:r>
            <w:r w:rsidR="008273DB" w:rsidRPr="004F7E58">
              <w:rPr>
                <w:noProof/>
                <w:lang w:val="bs-Latn-BA"/>
              </w:rPr>
              <w:t xml:space="preserve">16 </w:t>
            </w:r>
            <w:r w:rsidR="00100F61" w:rsidRPr="004F7E58">
              <w:rPr>
                <w:noProof/>
                <w:lang w:val="bs-Latn-BA"/>
              </w:rPr>
              <w:t>rezultata mjere rokovi nisu</w:t>
            </w:r>
            <w:r w:rsidR="00CB5438" w:rsidRPr="004F7E58">
              <w:rPr>
                <w:noProof/>
                <w:lang w:val="bs-Latn-BA"/>
              </w:rPr>
              <w:t xml:space="preserve"> istekli</w:t>
            </w:r>
            <w:r w:rsidR="00100F61" w:rsidRPr="004F7E58">
              <w:rPr>
                <w:noProof/>
                <w:lang w:val="bs-Latn-BA"/>
              </w:rPr>
              <w:t>.</w:t>
            </w:r>
            <w:r w:rsidR="00FF045B" w:rsidRPr="004F7E58">
              <w:rPr>
                <w:noProof/>
                <w:lang w:val="bs-Latn-BA"/>
              </w:rPr>
              <w:t xml:space="preserve"> </w:t>
            </w:r>
          </w:p>
          <w:p w14:paraId="702FA282" w14:textId="7B7C5C0B" w:rsidR="00317457" w:rsidRPr="004F7E58" w:rsidRDefault="008273DB" w:rsidP="004F7E5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Ukupno četiri </w:t>
            </w:r>
            <w:r w:rsidR="00FF045B" w:rsidRPr="004F7E58">
              <w:rPr>
                <w:noProof/>
                <w:lang w:val="bs-Latn-BA"/>
              </w:rPr>
              <w:t>aktivnost</w:t>
            </w:r>
            <w:r w:rsidRPr="004F7E58">
              <w:rPr>
                <w:noProof/>
                <w:lang w:val="bs-Latn-BA"/>
              </w:rPr>
              <w:t>i su</w:t>
            </w:r>
            <w:r w:rsidR="00FF045B" w:rsidRPr="004F7E58">
              <w:rPr>
                <w:noProof/>
                <w:lang w:val="bs-Latn-BA"/>
              </w:rPr>
              <w:t xml:space="preserve"> obustavljen</w:t>
            </w:r>
            <w:r w:rsidRPr="004F7E58">
              <w:rPr>
                <w:noProof/>
                <w:lang w:val="bs-Latn-BA"/>
              </w:rPr>
              <w:t xml:space="preserve">e (tri u 2024. i jedna u 2023.) pa su, skupa sa rezultatima mjere, izostavljeni sa </w:t>
            </w:r>
            <w:r w:rsidR="00FF045B" w:rsidRPr="004F7E58">
              <w:rPr>
                <w:noProof/>
                <w:lang w:val="bs-Latn-BA"/>
              </w:rPr>
              <w:t>grafik</w:t>
            </w:r>
            <w:r w:rsidRPr="004F7E58">
              <w:rPr>
                <w:noProof/>
                <w:lang w:val="bs-Latn-BA"/>
              </w:rPr>
              <w:t>onana ispod</w:t>
            </w:r>
            <w:r w:rsidR="00FF045B" w:rsidRPr="004F7E58">
              <w:rPr>
                <w:noProof/>
                <w:lang w:val="bs-Latn-BA"/>
              </w:rPr>
              <w:t xml:space="preserve">. </w:t>
            </w:r>
          </w:p>
        </w:tc>
      </w:tr>
      <w:tr w:rsidR="00317457" w:rsidRPr="004F7E58" w14:paraId="79BB5A90" w14:textId="77777777" w:rsidTr="00E408FE">
        <w:tc>
          <w:tcPr>
            <w:tcW w:w="4675" w:type="dxa"/>
            <w:gridSpan w:val="4"/>
          </w:tcPr>
          <w:p w14:paraId="6468E316" w14:textId="234629BA" w:rsidR="00317457" w:rsidRPr="004F7E58" w:rsidRDefault="00E408FE" w:rsidP="009E2172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56A7F3A9" wp14:editId="043B7DFA">
                  <wp:extent cx="2513888" cy="2368210"/>
                  <wp:effectExtent l="0" t="0" r="1270" b="13335"/>
                  <wp:docPr id="8" name="Chart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3"/>
          </w:tcPr>
          <w:p w14:paraId="26DCA53A" w14:textId="55BB86A8" w:rsidR="001B7338" w:rsidRPr="004F7E58" w:rsidRDefault="00E408FE" w:rsidP="004F7E58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3846506B" wp14:editId="7C87E094">
                  <wp:extent cx="2491325" cy="2368210"/>
                  <wp:effectExtent l="0" t="0" r="4445" b="13335"/>
                  <wp:docPr id="9" name="Chart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EB34F1" w:rsidRPr="004F7E58" w14:paraId="0AF6A57E" w14:textId="77777777" w:rsidTr="009E2172">
        <w:tc>
          <w:tcPr>
            <w:tcW w:w="3964" w:type="dxa"/>
            <w:gridSpan w:val="2"/>
          </w:tcPr>
          <w:p w14:paraId="036B5024" w14:textId="74929014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(ali predviđeno u 202</w:t>
            </w:r>
            <w:r w:rsidR="00E408FE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F0000"/>
          </w:tcPr>
          <w:p w14:paraId="46EE26D5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3954843C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7A61B6E1" w14:textId="3F02D1AB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postignuta</w:t>
            </w:r>
          </w:p>
        </w:tc>
        <w:tc>
          <w:tcPr>
            <w:tcW w:w="425" w:type="dxa"/>
            <w:shd w:val="clear" w:color="auto" w:fill="FF0000"/>
          </w:tcPr>
          <w:p w14:paraId="11B1C1B7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6B613337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B34F1" w:rsidRPr="004F7E58" w14:paraId="01ED70FF" w14:textId="77777777" w:rsidTr="009E2172">
        <w:tc>
          <w:tcPr>
            <w:tcW w:w="3964" w:type="dxa"/>
            <w:gridSpan w:val="2"/>
          </w:tcPr>
          <w:p w14:paraId="33378474" w14:textId="208D5C4E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E408FE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2F2F2" w:themeFill="background1" w:themeFillShade="F2"/>
          </w:tcPr>
          <w:p w14:paraId="73E11A06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1DB047C0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0EBD5610" w14:textId="42254F9F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  <w:tc>
          <w:tcPr>
            <w:tcW w:w="425" w:type="dxa"/>
            <w:shd w:val="clear" w:color="auto" w:fill="FFE599" w:themeFill="accent4" w:themeFillTint="66"/>
          </w:tcPr>
          <w:p w14:paraId="109B57F7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328A6264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B34F1" w:rsidRPr="004F7E58" w14:paraId="094C0B44" w14:textId="77777777" w:rsidTr="009E2172">
        <w:tc>
          <w:tcPr>
            <w:tcW w:w="3964" w:type="dxa"/>
            <w:gridSpan w:val="2"/>
          </w:tcPr>
          <w:p w14:paraId="0D1491E0" w14:textId="553B802F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  <w:tc>
          <w:tcPr>
            <w:tcW w:w="355" w:type="dxa"/>
            <w:shd w:val="clear" w:color="auto" w:fill="FFE599" w:themeFill="accent4" w:themeFillTint="66"/>
          </w:tcPr>
          <w:p w14:paraId="692CEA6F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7B2A8DA9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2A898C26" w14:textId="41369720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79D25C1A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16244A88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B34F1" w:rsidRPr="004F7E58" w14:paraId="604950EB" w14:textId="77777777" w:rsidTr="000570E6">
        <w:tc>
          <w:tcPr>
            <w:tcW w:w="3964" w:type="dxa"/>
            <w:gridSpan w:val="2"/>
          </w:tcPr>
          <w:p w14:paraId="4558EA99" w14:textId="11458D6D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2E4AE6" w:rsidRPr="004F7E58">
              <w:rPr>
                <w:noProof/>
                <w:lang w:val="bs-Latn-BA"/>
              </w:rPr>
              <w:t>u 202</w:t>
            </w:r>
            <w:r w:rsidR="00E408FE" w:rsidRPr="004F7E58">
              <w:rPr>
                <w:noProof/>
                <w:lang w:val="bs-Latn-BA"/>
              </w:rPr>
              <w:t>4</w:t>
            </w:r>
          </w:p>
        </w:tc>
        <w:tc>
          <w:tcPr>
            <w:tcW w:w="355" w:type="dxa"/>
            <w:shd w:val="clear" w:color="auto" w:fill="C5E0B3" w:themeFill="accent6" w:themeFillTint="66"/>
          </w:tcPr>
          <w:p w14:paraId="7F2CC093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color w:val="FFFF00"/>
                <w:lang w:val="bs-Latn-BA"/>
              </w:rPr>
            </w:pPr>
          </w:p>
        </w:tc>
        <w:tc>
          <w:tcPr>
            <w:tcW w:w="356" w:type="dxa"/>
          </w:tcPr>
          <w:p w14:paraId="72E4D52A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4FD29F92" w14:textId="3835FECF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5E4092DB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6E4ECE32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B34F1" w:rsidRPr="004F7E58" w14:paraId="1C40C8D0" w14:textId="77777777" w:rsidTr="000570E6">
        <w:tc>
          <w:tcPr>
            <w:tcW w:w="3964" w:type="dxa"/>
            <w:gridSpan w:val="2"/>
          </w:tcPr>
          <w:p w14:paraId="77B231D7" w14:textId="7E927BD6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iz prethodnog perioda</w:t>
            </w:r>
          </w:p>
        </w:tc>
        <w:tc>
          <w:tcPr>
            <w:tcW w:w="355" w:type="dxa"/>
            <w:shd w:val="clear" w:color="auto" w:fill="00B050"/>
          </w:tcPr>
          <w:p w14:paraId="0A2F0995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498F5200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1A499EAC" w14:textId="73B46F02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definirana</w:t>
            </w:r>
          </w:p>
        </w:tc>
        <w:tc>
          <w:tcPr>
            <w:tcW w:w="425" w:type="dxa"/>
            <w:shd w:val="clear" w:color="auto" w:fill="FFCCFF"/>
          </w:tcPr>
          <w:p w14:paraId="1558E9B4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0F0A613B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B34F1" w:rsidRPr="004F7E58" w14:paraId="107C5552" w14:textId="77777777" w:rsidTr="000570E6">
        <w:tc>
          <w:tcPr>
            <w:tcW w:w="3964" w:type="dxa"/>
            <w:gridSpan w:val="2"/>
          </w:tcPr>
          <w:p w14:paraId="6F5D4F45" w14:textId="33E3AECF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5" w:type="dxa"/>
          </w:tcPr>
          <w:p w14:paraId="69B6EFBE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2A183899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7E40009F" w14:textId="7FE29E66" w:rsidR="00EB34F1" w:rsidRPr="004F7E58" w:rsidRDefault="00EB34F1" w:rsidP="00EB34F1">
            <w:pPr>
              <w:pStyle w:val="NormalPFM1"/>
              <w:spacing w:before="0" w:after="0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 u prethodnom periodu</w:t>
            </w:r>
          </w:p>
        </w:tc>
        <w:tc>
          <w:tcPr>
            <w:tcW w:w="425" w:type="dxa"/>
            <w:shd w:val="clear" w:color="auto" w:fill="00B050"/>
          </w:tcPr>
          <w:p w14:paraId="7864D90E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4FE7F3AF" w14:textId="77777777" w:rsidR="00EB34F1" w:rsidRPr="004F7E58" w:rsidRDefault="00EB34F1" w:rsidP="00EB34F1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</w:tbl>
    <w:p w14:paraId="52B9ABE2" w14:textId="77777777" w:rsidR="00160F36" w:rsidRPr="004F7E58" w:rsidRDefault="00160F36" w:rsidP="00296FEA">
      <w:pPr>
        <w:pStyle w:val="NormalPFM1"/>
        <w:rPr>
          <w:lang w:val="bs-Latn-BA"/>
        </w:rPr>
      </w:pPr>
    </w:p>
    <w:p w14:paraId="34F6DC29" w14:textId="77777777" w:rsidR="00463332" w:rsidRPr="004F7E58" w:rsidRDefault="00463332" w:rsidP="002371EF">
      <w:pPr>
        <w:rPr>
          <w:lang w:val="bs-Latn-BA"/>
        </w:rPr>
      </w:pPr>
    </w:p>
    <w:p w14:paraId="6DBEA7AC" w14:textId="3B1C35D3" w:rsidR="00296FEA" w:rsidRPr="004F7E58" w:rsidRDefault="00463332" w:rsidP="007B4A6A">
      <w:pPr>
        <w:pStyle w:val="Heading4"/>
        <w:rPr>
          <w:b/>
          <w:i w:val="0"/>
          <w:color w:val="C00000"/>
          <w:sz w:val="24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 xml:space="preserve">4.2.3.1 </w:t>
      </w:r>
      <w:r w:rsidR="00296FEA" w:rsidRPr="004F7E58">
        <w:rPr>
          <w:b/>
          <w:i w:val="0"/>
          <w:color w:val="C00000"/>
          <w:sz w:val="24"/>
          <w:lang w:val="bs-Latn-BA"/>
        </w:rPr>
        <w:t xml:space="preserve">Mjera </w:t>
      </w:r>
      <w:r w:rsidR="005A26A9" w:rsidRPr="004F7E58">
        <w:rPr>
          <w:b/>
          <w:i w:val="0"/>
          <w:color w:val="C00000"/>
          <w:sz w:val="24"/>
          <w:lang w:val="bs-Latn-BA"/>
        </w:rPr>
        <w:t>II.1. Unaprjeđenje pravnog okvira javnih prihoda</w:t>
      </w:r>
    </w:p>
    <w:p w14:paraId="46336D91" w14:textId="77777777" w:rsidR="00296FEA" w:rsidRPr="004F7E58" w:rsidRDefault="00296FEA" w:rsidP="00296FEA">
      <w:pPr>
        <w:rPr>
          <w:b/>
          <w:lang w:val="bs-Latn-BA"/>
        </w:rPr>
      </w:pPr>
    </w:p>
    <w:p w14:paraId="3DFF25B9" w14:textId="76DA0A6A" w:rsidR="00296FEA" w:rsidRPr="004F7E58" w:rsidRDefault="00296FEA" w:rsidP="00296FEA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E1EF4" w:rsidRPr="004F7E58" w14:paraId="63257D86" w14:textId="77777777" w:rsidTr="00DC7F97">
        <w:tc>
          <w:tcPr>
            <w:tcW w:w="9350" w:type="dxa"/>
          </w:tcPr>
          <w:p w14:paraId="6C57109E" w14:textId="281E60E9" w:rsidR="00CE1EF4" w:rsidRPr="004F7E58" w:rsidRDefault="00CE1EF4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>U izvještajnom periodu u okviru mjere planira</w:t>
            </w:r>
            <w:r w:rsidR="00F727BC" w:rsidRPr="004F7E58">
              <w:rPr>
                <w:noProof/>
                <w:lang w:val="bs-Latn-BA"/>
              </w:rPr>
              <w:t>n</w:t>
            </w:r>
            <w:r w:rsidR="005E407B" w:rsidRPr="004F7E58">
              <w:rPr>
                <w:noProof/>
                <w:lang w:val="bs-Latn-BA"/>
              </w:rPr>
              <w:t xml:space="preserve">a je jedna </w:t>
            </w:r>
            <w:r w:rsidR="00091001" w:rsidRPr="004F7E58">
              <w:rPr>
                <w:noProof/>
                <w:lang w:val="bs-Latn-BA"/>
              </w:rPr>
              <w:t>aktivno</w:t>
            </w:r>
            <w:r w:rsidR="005E407B" w:rsidRPr="004F7E58">
              <w:rPr>
                <w:noProof/>
                <w:lang w:val="bs-Latn-BA"/>
              </w:rPr>
              <w:t>s</w:t>
            </w:r>
            <w:r w:rsidR="00091001" w:rsidRPr="004F7E58">
              <w:rPr>
                <w:noProof/>
                <w:lang w:val="bs-Latn-BA"/>
              </w:rPr>
              <w:t>t</w:t>
            </w:r>
            <w:r w:rsidR="005E407B" w:rsidRPr="004F7E58">
              <w:rPr>
                <w:noProof/>
                <w:lang w:val="bs-Latn-BA"/>
              </w:rPr>
              <w:t xml:space="preserve"> koja je u toku</w:t>
            </w:r>
            <w:r w:rsidR="00F727BC" w:rsidRPr="004F7E58">
              <w:rPr>
                <w:noProof/>
                <w:lang w:val="bs-Latn-BA"/>
              </w:rPr>
              <w:t>.</w:t>
            </w:r>
            <w:r w:rsidR="005E407B" w:rsidRPr="004F7E58">
              <w:rPr>
                <w:noProof/>
                <w:lang w:val="bs-Latn-BA"/>
              </w:rPr>
              <w:t xml:space="preserve"> </w:t>
            </w:r>
          </w:p>
        </w:tc>
      </w:tr>
      <w:tr w:rsidR="00CE1EF4" w:rsidRPr="004F7E58" w14:paraId="25A432A4" w14:textId="77777777" w:rsidTr="00DC7F97">
        <w:tc>
          <w:tcPr>
            <w:tcW w:w="9350" w:type="dxa"/>
          </w:tcPr>
          <w:p w14:paraId="304D6EE6" w14:textId="3C2615A5" w:rsidR="00CE1EF4" w:rsidRPr="004F7E58" w:rsidRDefault="00234CF2" w:rsidP="006E2C3B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Za </w:t>
            </w:r>
            <w:r w:rsidR="00DB527C" w:rsidRPr="004F7E58">
              <w:rPr>
                <w:noProof/>
                <w:lang w:val="bs-Latn-BA"/>
              </w:rPr>
              <w:t>r</w:t>
            </w:r>
            <w:r w:rsidR="00424298" w:rsidRPr="004F7E58">
              <w:rPr>
                <w:noProof/>
                <w:lang w:val="bs-Latn-BA"/>
              </w:rPr>
              <w:t>ezultat</w:t>
            </w:r>
            <w:r w:rsidR="00194F40" w:rsidRPr="004F7E58">
              <w:rPr>
                <w:noProof/>
                <w:lang w:val="bs-Latn-BA"/>
              </w:rPr>
              <w:t>e</w:t>
            </w:r>
            <w:r w:rsidR="00424298" w:rsidRPr="004F7E58">
              <w:rPr>
                <w:noProof/>
                <w:lang w:val="bs-Latn-BA"/>
              </w:rPr>
              <w:t xml:space="preserve"> mjere </w:t>
            </w:r>
            <w:r w:rsidR="00194F40" w:rsidRPr="004F7E58">
              <w:rPr>
                <w:noProof/>
                <w:lang w:val="bs-Latn-BA"/>
              </w:rPr>
              <w:t xml:space="preserve">rokovi </w:t>
            </w:r>
            <w:r w:rsidR="00424298" w:rsidRPr="004F7E58">
              <w:rPr>
                <w:noProof/>
                <w:lang w:val="bs-Latn-BA"/>
              </w:rPr>
              <w:t>nisu istekli.</w:t>
            </w:r>
          </w:p>
        </w:tc>
      </w:tr>
    </w:tbl>
    <w:p w14:paraId="479536FE" w14:textId="77777777" w:rsidR="00296FEA" w:rsidRPr="004F7E58" w:rsidRDefault="00296FEA" w:rsidP="00296FEA">
      <w:pPr>
        <w:rPr>
          <w:lang w:val="fr-FR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183"/>
        <w:gridCol w:w="2782"/>
      </w:tblGrid>
      <w:tr w:rsidR="00296FEA" w:rsidRPr="004F7E58" w14:paraId="0D525118" w14:textId="77777777" w:rsidTr="00DB527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9BAB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D074" w14:textId="0E6B8165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CA1B" w14:textId="3E27550C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8B1FF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8B1FF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DB527C" w:rsidRPr="004F7E58" w14:paraId="398AE7EB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ACC2" w14:textId="77777777" w:rsidR="00DB527C" w:rsidRPr="004F7E58" w:rsidRDefault="00DB527C" w:rsidP="00DB527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5A4F" w14:textId="4C7894FE" w:rsidR="00DB527C" w:rsidRPr="004F7E58" w:rsidRDefault="00DB527C" w:rsidP="00DB527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II.1.1 Smanjenje fiskalnog opterećenja rada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6A3548" w14:textId="5A09D915" w:rsidR="00DB527C" w:rsidRPr="004F7E58" w:rsidRDefault="00DB527C" w:rsidP="00DB527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EC7972" w:rsidRPr="004F7E58" w14:paraId="06BCAB47" w14:textId="77777777" w:rsidTr="00DB527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744" w14:textId="77777777" w:rsidR="00EC7972" w:rsidRPr="004F7E58" w:rsidRDefault="00EC7972" w:rsidP="00EC797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BDD3" w14:textId="4037CBB3" w:rsidR="00EC7972" w:rsidRPr="004F7E58" w:rsidRDefault="00EC7972" w:rsidP="00EC7972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II.1.A  Uspostavljen novi pravičniji sistem oporezivanja rada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B98247D" w14:textId="79197891" w:rsidR="00EC7972" w:rsidRPr="004F7E58" w:rsidRDefault="00EC7972" w:rsidP="00EC797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296FEA" w:rsidRPr="004F7E58" w14:paraId="1298B3BB" w14:textId="77777777" w:rsidTr="00DB527C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F036A6F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369F2EA" w14:textId="4103BD76" w:rsidR="00296FEA" w:rsidRPr="004F7E58" w:rsidRDefault="006F20B3" w:rsidP="006E2C3B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N</w:t>
            </w:r>
            <w:r w:rsidR="006E2C3B" w:rsidRPr="004F7E58">
              <w:rPr>
                <w:lang w:val="bs-Latn-BA"/>
              </w:rPr>
              <w:t>akon provođenja općih izbora 2022. godine, n</w:t>
            </w:r>
            <w:r w:rsidRPr="004F7E58">
              <w:rPr>
                <w:lang w:val="bs-Latn-BA"/>
              </w:rPr>
              <w:t>ova Vlada FBIH je povu</w:t>
            </w:r>
            <w:r w:rsidR="00801110" w:rsidRPr="004F7E58">
              <w:rPr>
                <w:lang w:val="bs-Latn-BA"/>
              </w:rPr>
              <w:t>k</w:t>
            </w:r>
            <w:r w:rsidRPr="004F7E58">
              <w:rPr>
                <w:lang w:val="bs-Latn-BA"/>
              </w:rPr>
              <w:t xml:space="preserve">la oba zakona (Zakon o porezu na dohodak u FBIH i Zakon o doprinosima FBIH) iz Parlamenta. </w:t>
            </w:r>
            <w:r w:rsidR="008B1FF6" w:rsidRPr="004F7E58">
              <w:rPr>
                <w:lang w:val="bs-Latn-BA"/>
              </w:rPr>
              <w:t>FMF je tokom 202</w:t>
            </w:r>
            <w:r w:rsidR="005039BB" w:rsidRPr="004F7E58">
              <w:rPr>
                <w:lang w:val="bs-Latn-BA"/>
              </w:rPr>
              <w:t xml:space="preserve">4 izradio nove nacrte Zakona i planira ih poslati u proceduru usvajanja tokom 2025. godine. </w:t>
            </w:r>
          </w:p>
        </w:tc>
      </w:tr>
    </w:tbl>
    <w:p w14:paraId="0733D3AB" w14:textId="77777777" w:rsidR="00296FEA" w:rsidRPr="004F7E58" w:rsidRDefault="00296FEA" w:rsidP="00296FEA">
      <w:pPr>
        <w:rPr>
          <w:lang w:val="bs-Latn-BA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179"/>
        <w:gridCol w:w="2786"/>
      </w:tblGrid>
      <w:tr w:rsidR="00296FEA" w:rsidRPr="004F7E58" w14:paraId="1516D942" w14:textId="77777777" w:rsidTr="006E2C3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0C94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238" w14:textId="03A800AC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89C3" w14:textId="24D74D85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3F77F7" w:rsidRPr="004F7E58" w14:paraId="25373EC1" w14:textId="77777777" w:rsidTr="00234CF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742C" w14:textId="77777777" w:rsidR="003F77F7" w:rsidRPr="004F7E58" w:rsidRDefault="003F77F7" w:rsidP="003F77F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27E" w14:textId="24F8B836" w:rsidR="003F77F7" w:rsidRPr="004F7E58" w:rsidRDefault="003F77F7" w:rsidP="003F77F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II.1.2 Harmonizirati propise o oporezivanju posjedovanja i prometa imovine u FBiH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F2B2" w14:textId="487DD484" w:rsidR="003F77F7" w:rsidRPr="004F7E58" w:rsidRDefault="005039BB" w:rsidP="003F77F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2024.)</w:t>
            </w:r>
          </w:p>
        </w:tc>
      </w:tr>
      <w:tr w:rsidR="007C7E45" w:rsidRPr="004F7E58" w14:paraId="084C7201" w14:textId="77777777" w:rsidTr="007C7E4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2C68" w14:textId="77777777" w:rsidR="007C7E45" w:rsidRPr="004F7E58" w:rsidRDefault="007C7E45" w:rsidP="007C7E4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77C2" w14:textId="2DFF56A1" w:rsidR="007C7E45" w:rsidRPr="004F7E58" w:rsidRDefault="007C7E45" w:rsidP="007C7E4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II.1.B Uspostavljen jedinstveni sistem oporezivanja imovine na cijeloj teritoriji FBIH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88A2F7C" w14:textId="072424CF" w:rsidR="007C7E45" w:rsidRPr="004F7E58" w:rsidRDefault="007C7E45" w:rsidP="007C7E4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296FEA" w:rsidRPr="004F7E58" w14:paraId="2073E9E2" w14:textId="77777777" w:rsidTr="006E2C3B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77BE4E8D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27BD33AB" w14:textId="1E4EAD83" w:rsidR="00296FEA" w:rsidRPr="004F7E58" w:rsidRDefault="00296FEA" w:rsidP="000908DB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19E056E0" w14:textId="1B63E0E1" w:rsidR="00296FEA" w:rsidRPr="004F7E58" w:rsidRDefault="00296FEA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0908DB" w:rsidRPr="004F7E58" w14:paraId="1BBAD145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A5E" w14:textId="77777777" w:rsidR="000908DB" w:rsidRPr="004F7E58" w:rsidRDefault="000908D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FE6" w14:textId="77777777" w:rsidR="000908DB" w:rsidRPr="004F7E58" w:rsidRDefault="000908D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D36C" w14:textId="54D4FD6F" w:rsidR="000908DB" w:rsidRPr="004F7E58" w:rsidRDefault="000908D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</w:t>
            </w:r>
            <w:r w:rsidR="003D4872" w:rsidRPr="004F7E58">
              <w:rPr>
                <w:b/>
                <w:noProof/>
                <w:lang w:val="bs-Latn-BA"/>
              </w:rPr>
              <w:t>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C7E45" w:rsidRPr="004F7E58" w14:paraId="33630415" w14:textId="77777777" w:rsidTr="007C7E4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016E" w14:textId="77777777" w:rsidR="007C7E45" w:rsidRPr="004F7E58" w:rsidRDefault="007C7E45" w:rsidP="007C7E4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D01A" w14:textId="7E8D1218" w:rsidR="007C7E45" w:rsidRPr="004F7E58" w:rsidRDefault="007C7E45" w:rsidP="007C7E4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II.1.3 Harmonizirati zakon o igrama na sreću u skladu sa međunarodnim propisima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FA62194" w14:textId="740678FA" w:rsidR="007C7E45" w:rsidRPr="004F7E58" w:rsidRDefault="007C7E45" w:rsidP="007C7E4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5039BB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0908DB" w:rsidRPr="004F7E58" w14:paraId="1E1E598E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C59" w14:textId="77777777" w:rsidR="000908DB" w:rsidRPr="004F7E58" w:rsidRDefault="000908D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08D" w14:textId="159B4F36" w:rsidR="000908DB" w:rsidRPr="004F7E58" w:rsidRDefault="000908DB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II.1.C Djelatnost  priređivanja igara na sreću i nagradnih igara se prilagođava fiskalnim pravilima u skladu sa međunarodnim propisima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5828F" w14:textId="33CFB1AB" w:rsidR="000908DB" w:rsidRPr="004F7E58" w:rsidRDefault="000908D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0908DB" w:rsidRPr="004F7E58" w14:paraId="2450C58A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D5E5982" w14:textId="77777777" w:rsidR="000908DB" w:rsidRPr="004F7E58" w:rsidRDefault="000908D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89557A9" w14:textId="6F0A3E23" w:rsidR="000908DB" w:rsidRPr="004F7E58" w:rsidRDefault="00641E2B" w:rsidP="00BA304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</w:t>
            </w:r>
          </w:p>
        </w:tc>
      </w:tr>
    </w:tbl>
    <w:p w14:paraId="61B6EB22" w14:textId="311EF608" w:rsidR="000908DB" w:rsidRPr="004F7E58" w:rsidRDefault="000908DB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BD14DD" w:rsidRPr="004F7E58" w14:paraId="7AE5B9E1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774" w14:textId="77777777" w:rsidR="00BD14DD" w:rsidRPr="004F7E58" w:rsidRDefault="00BD14DD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BF7D" w14:textId="77777777" w:rsidR="00BD14DD" w:rsidRPr="004F7E58" w:rsidRDefault="00BD14DD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E9CA" w14:textId="33BC359F" w:rsidR="00BD14DD" w:rsidRPr="004F7E58" w:rsidRDefault="00BD14DD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D74006" w:rsidRPr="004F7E58" w14:paraId="50C85750" w14:textId="77777777" w:rsidTr="00D7400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E239" w14:textId="77777777" w:rsidR="00D74006" w:rsidRPr="004F7E58" w:rsidRDefault="00D74006" w:rsidP="00D7400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DB8" w14:textId="3C6DCA4B" w:rsidR="00D74006" w:rsidRPr="004F7E58" w:rsidRDefault="00D74006" w:rsidP="00D7400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II.1.4  Unaprijediti propise o poreznoj administraciji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DCE5CBB" w14:textId="06A3B4C4" w:rsidR="00D74006" w:rsidRPr="004F7E58" w:rsidRDefault="00D74006" w:rsidP="00D7400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5039BB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BD14DD" w:rsidRPr="004F7E58" w14:paraId="12D8642D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8B0" w14:textId="77777777" w:rsidR="00BD14DD" w:rsidRPr="004F7E58" w:rsidRDefault="00BD14DD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C7F" w14:textId="13998834" w:rsidR="00BD14DD" w:rsidRPr="004F7E58" w:rsidRDefault="00BD14DD" w:rsidP="000947E8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II.1.D Uspostavljena efikasna i efektivna Porezna uprava FBiH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3A5B2" w14:textId="77777777" w:rsidR="00BD14DD" w:rsidRPr="004F7E58" w:rsidRDefault="00BD14DD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Rok za realizaciju još nije istekao</w:t>
            </w:r>
          </w:p>
        </w:tc>
      </w:tr>
      <w:tr w:rsidR="00BD14DD" w:rsidRPr="004F7E58" w14:paraId="35A9B8F7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1287C2E7" w14:textId="77777777" w:rsidR="00BD14DD" w:rsidRPr="004F7E58" w:rsidRDefault="00BD14DD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A2E84CF" w14:textId="76FEA66B" w:rsidR="00BD14DD" w:rsidRPr="004F7E58" w:rsidRDefault="00BD14DD" w:rsidP="00E601B5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28C16935" w14:textId="77777777" w:rsidR="000908DB" w:rsidRPr="004F7E58" w:rsidRDefault="000908DB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0B5361" w:rsidRPr="004F7E58" w14:paraId="6661120F" w14:textId="77777777" w:rsidTr="00BD14D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FD4" w14:textId="77777777" w:rsidR="000B5361" w:rsidRPr="004F7E58" w:rsidRDefault="000B5361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0B14" w14:textId="77777777" w:rsidR="000B5361" w:rsidRPr="004F7E58" w:rsidRDefault="000B5361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78C" w14:textId="0516CB9F" w:rsidR="000B5361" w:rsidRPr="004F7E58" w:rsidRDefault="000B5361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0B5361" w:rsidRPr="004F7E58" w14:paraId="2AE717AE" w14:textId="77777777" w:rsidTr="0009100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BF3D" w14:textId="77777777" w:rsidR="000B5361" w:rsidRPr="004F7E58" w:rsidRDefault="000B5361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4F51" w14:textId="1BA01F14" w:rsidR="000B5361" w:rsidRPr="004F7E58" w:rsidRDefault="00093FFA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II.1.5 Unaprjeđenje sistema raspodjele prihoda u Federaciji BiH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EAD31" w14:textId="60A999B4" w:rsidR="000B5361" w:rsidRPr="004F7E58" w:rsidRDefault="00091001" w:rsidP="00E0585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Aktivnost zaustavljena</w:t>
            </w:r>
          </w:p>
        </w:tc>
      </w:tr>
      <w:tr w:rsidR="00BD14DD" w:rsidRPr="004F7E58" w14:paraId="24113CAB" w14:textId="77777777" w:rsidTr="0009100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30BE" w14:textId="77777777" w:rsidR="00BD14DD" w:rsidRPr="004F7E58" w:rsidRDefault="00BD14DD" w:rsidP="00BD14D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49E" w14:textId="6FB4BF32" w:rsidR="00BD14DD" w:rsidRPr="004F7E58" w:rsidRDefault="00BD14DD" w:rsidP="00BD14DD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II.1.E Javni prihodi se raspoređuju u skladu sa novim sistemom raspodjele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1428" w14:textId="59A22647" w:rsidR="00BD14DD" w:rsidRPr="004F7E58" w:rsidRDefault="00091001" w:rsidP="00BD14D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se briše</w:t>
            </w:r>
          </w:p>
        </w:tc>
      </w:tr>
      <w:tr w:rsidR="00BD14DD" w:rsidRPr="004F7E58" w14:paraId="1DC88181" w14:textId="77777777" w:rsidTr="00BD14DD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4512272" w14:textId="77777777" w:rsidR="00BD14DD" w:rsidRPr="004F7E58" w:rsidRDefault="00BD14DD" w:rsidP="00BD14DD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D47AAF5" w14:textId="09096137" w:rsidR="00091001" w:rsidRPr="004F7E58" w:rsidRDefault="00091001" w:rsidP="0009100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Tokom 2023. godine Parlament je usvojio Zakon o pr</w:t>
            </w:r>
            <w:r w:rsidR="003C63B7" w:rsidRPr="004F7E58">
              <w:rPr>
                <w:lang w:val="bs-Latn-BA"/>
              </w:rPr>
              <w:t>i</w:t>
            </w:r>
            <w:r w:rsidRPr="004F7E58">
              <w:rPr>
                <w:lang w:val="bs-Latn-BA"/>
              </w:rPr>
              <w:t xml:space="preserve">padnosti </w:t>
            </w:r>
            <w:r w:rsidR="003C63B7" w:rsidRPr="004F7E58">
              <w:rPr>
                <w:lang w:val="bs-Latn-BA"/>
              </w:rPr>
              <w:t>javnih prihoda koje je predložio jedan od zastupnika</w:t>
            </w:r>
            <w:r w:rsidRPr="004F7E58">
              <w:rPr>
                <w:lang w:val="bs-Latn-BA"/>
              </w:rPr>
              <w:t xml:space="preserve">, i </w:t>
            </w:r>
            <w:r w:rsidR="003C63B7" w:rsidRPr="004F7E58">
              <w:rPr>
                <w:lang w:val="bs-Latn-BA"/>
              </w:rPr>
              <w:t xml:space="preserve">ova aktivnost je zaustavljena. </w:t>
            </w:r>
          </w:p>
          <w:p w14:paraId="40E1495E" w14:textId="01764150" w:rsidR="00BD14DD" w:rsidRPr="004F7E58" w:rsidRDefault="00BD14DD" w:rsidP="00343A1C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4E7185B3" w14:textId="148A65BC" w:rsidR="00296FEA" w:rsidRPr="004F7E58" w:rsidRDefault="00463332" w:rsidP="00F727BC">
      <w:pPr>
        <w:pStyle w:val="NormalPFM1"/>
        <w:rPr>
          <w:b/>
          <w:i/>
          <w:color w:val="C00000"/>
          <w:lang w:val="bs-Latn-BA"/>
        </w:rPr>
      </w:pPr>
      <w:r w:rsidRPr="004F7E58">
        <w:rPr>
          <w:b/>
          <w:color w:val="C00000"/>
          <w:sz w:val="24"/>
          <w:lang w:val="bs-Latn-BA"/>
        </w:rPr>
        <w:t>4.2.3.2</w:t>
      </w:r>
      <w:r w:rsidRPr="004F7E58">
        <w:rPr>
          <w:b/>
          <w:i/>
          <w:color w:val="C00000"/>
          <w:sz w:val="24"/>
          <w:lang w:val="bs-Latn-BA"/>
        </w:rPr>
        <w:t xml:space="preserve"> </w:t>
      </w:r>
      <w:r w:rsidR="00296FEA" w:rsidRPr="004F7E58">
        <w:rPr>
          <w:b/>
          <w:color w:val="C00000"/>
          <w:sz w:val="24"/>
          <w:lang w:val="bs-Latn-BA"/>
        </w:rPr>
        <w:t xml:space="preserve">Mjera: </w:t>
      </w:r>
      <w:r w:rsidR="00B9686F" w:rsidRPr="004F7E58">
        <w:rPr>
          <w:b/>
          <w:color w:val="C00000"/>
          <w:sz w:val="24"/>
          <w:lang w:val="bs-Latn-BA"/>
        </w:rPr>
        <w:t>I</w:t>
      </w:r>
      <w:r w:rsidR="00296FEA" w:rsidRPr="004F7E58">
        <w:rPr>
          <w:b/>
          <w:color w:val="C00000"/>
          <w:sz w:val="24"/>
          <w:lang w:val="bs-Latn-BA"/>
        </w:rPr>
        <w:t>I.2.</w:t>
      </w:r>
      <w:r w:rsidR="004E70B5" w:rsidRPr="004F7E58">
        <w:rPr>
          <w:b/>
          <w:color w:val="C00000"/>
          <w:sz w:val="24"/>
          <w:lang w:val="bs-Latn-BA"/>
        </w:rPr>
        <w:t xml:space="preserve"> Unaprjeđenje i harmonizacija pravnog okvira u skladu sa međunarodnom pomoći i administrativnom saradnjom</w:t>
      </w:r>
    </w:p>
    <w:p w14:paraId="7422F1F3" w14:textId="77777777" w:rsidR="00296FEA" w:rsidRPr="004F7E58" w:rsidRDefault="00296FEA" w:rsidP="00296FEA">
      <w:pPr>
        <w:rPr>
          <w:b/>
          <w:lang w:val="bs-Latn-BA"/>
        </w:rPr>
      </w:pPr>
    </w:p>
    <w:p w14:paraId="7BA8F3E1" w14:textId="13B7E3EA" w:rsidR="00296FEA" w:rsidRPr="004F7E58" w:rsidRDefault="00296FEA" w:rsidP="00296FEA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44578" w:rsidRPr="004F7E58" w14:paraId="6B0F557F" w14:textId="77777777" w:rsidTr="00DC7F97">
        <w:tc>
          <w:tcPr>
            <w:tcW w:w="9350" w:type="dxa"/>
          </w:tcPr>
          <w:p w14:paraId="54BCD39F" w14:textId="71D909AB" w:rsidR="00444578" w:rsidRPr="004F7E58" w:rsidRDefault="00444578" w:rsidP="00185072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>U izvještajnom periodu u okviru mjere planiran</w:t>
            </w:r>
            <w:r w:rsidR="00217BC1" w:rsidRPr="004F7E58">
              <w:rPr>
                <w:noProof/>
                <w:lang w:val="bs-Latn-BA"/>
              </w:rPr>
              <w:t xml:space="preserve">e su </w:t>
            </w:r>
            <w:r w:rsidR="00234CF2" w:rsidRPr="004F7E58">
              <w:rPr>
                <w:noProof/>
                <w:lang w:val="bs-Latn-BA"/>
              </w:rPr>
              <w:t>dvije</w:t>
            </w:r>
            <w:r w:rsidR="00185072" w:rsidRPr="004F7E58">
              <w:rPr>
                <w:noProof/>
                <w:lang w:val="bs-Latn-BA"/>
              </w:rPr>
              <w:t xml:space="preserve"> </w:t>
            </w:r>
            <w:r w:rsidRPr="004F7E58">
              <w:rPr>
                <w:noProof/>
                <w:lang w:val="bs-Latn-BA"/>
              </w:rPr>
              <w:t>aktivnosti</w:t>
            </w:r>
            <w:r w:rsidR="00185072" w:rsidRPr="004F7E58">
              <w:rPr>
                <w:noProof/>
                <w:lang w:val="bs-Latn-BA"/>
              </w:rPr>
              <w:t xml:space="preserve"> </w:t>
            </w:r>
            <w:r w:rsidR="00234CF2" w:rsidRPr="004F7E58">
              <w:rPr>
                <w:noProof/>
                <w:lang w:val="bs-Latn-BA"/>
              </w:rPr>
              <w:t>koje se provode.</w:t>
            </w:r>
            <w:r w:rsidR="00185072" w:rsidRPr="004F7E58">
              <w:rPr>
                <w:noProof/>
                <w:lang w:val="bs-Latn-BA"/>
              </w:rPr>
              <w:t xml:space="preserve"> </w:t>
            </w:r>
            <w:r w:rsidRPr="004F7E58">
              <w:rPr>
                <w:noProof/>
                <w:lang w:val="bs-Latn-BA"/>
              </w:rPr>
              <w:t xml:space="preserve"> </w:t>
            </w:r>
            <w:r w:rsidR="002E0D70" w:rsidRPr="004F7E58">
              <w:rPr>
                <w:noProof/>
                <w:lang w:val="bs-Latn-BA"/>
              </w:rPr>
              <w:t>Jedna aktivnost završena je 2023.</w:t>
            </w:r>
          </w:p>
        </w:tc>
      </w:tr>
      <w:tr w:rsidR="00444578" w:rsidRPr="004F7E58" w14:paraId="0286A2A1" w14:textId="77777777" w:rsidTr="00DC7F97">
        <w:tc>
          <w:tcPr>
            <w:tcW w:w="9350" w:type="dxa"/>
          </w:tcPr>
          <w:p w14:paraId="464FE811" w14:textId="0E8BBE53" w:rsidR="00444578" w:rsidRPr="004F7E58" w:rsidRDefault="00217BC1" w:rsidP="00185072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Jedna ciljana vrijednost je postignuta </w:t>
            </w:r>
            <w:r w:rsidR="00234CF2" w:rsidRPr="004F7E58">
              <w:rPr>
                <w:noProof/>
                <w:lang w:val="bs-Latn-BA"/>
              </w:rPr>
              <w:t xml:space="preserve">u 2023. godini, </w:t>
            </w:r>
            <w:r w:rsidRPr="004F7E58">
              <w:rPr>
                <w:noProof/>
                <w:lang w:val="bs-Latn-BA"/>
              </w:rPr>
              <w:t>a r</w:t>
            </w:r>
            <w:r w:rsidR="00444578" w:rsidRPr="004F7E58">
              <w:rPr>
                <w:noProof/>
                <w:lang w:val="bs-Latn-BA"/>
              </w:rPr>
              <w:t>okovi za realizaciju</w:t>
            </w:r>
            <w:r w:rsidRPr="004F7E58">
              <w:rPr>
                <w:noProof/>
                <w:lang w:val="bs-Latn-BA"/>
              </w:rPr>
              <w:t xml:space="preserve"> ostalih</w:t>
            </w:r>
            <w:r w:rsidR="00444578" w:rsidRPr="004F7E58">
              <w:rPr>
                <w:noProof/>
                <w:lang w:val="bs-Latn-BA"/>
              </w:rPr>
              <w:t xml:space="preserve"> </w:t>
            </w:r>
            <w:r w:rsidR="00F24110" w:rsidRPr="004F7E58">
              <w:rPr>
                <w:noProof/>
                <w:lang w:val="bs-Latn-BA"/>
              </w:rPr>
              <w:t xml:space="preserve">rezultata mjere </w:t>
            </w:r>
            <w:r w:rsidR="00444578" w:rsidRPr="004F7E58">
              <w:rPr>
                <w:noProof/>
                <w:lang w:val="bs-Latn-BA"/>
              </w:rPr>
              <w:t xml:space="preserve">nisu istekli tokom </w:t>
            </w:r>
            <w:r w:rsidR="00185072" w:rsidRPr="004F7E58">
              <w:rPr>
                <w:noProof/>
                <w:lang w:val="bs-Latn-BA"/>
              </w:rPr>
              <w:t>202</w:t>
            </w:r>
            <w:r w:rsidR="00234CF2" w:rsidRPr="004F7E58">
              <w:rPr>
                <w:noProof/>
                <w:lang w:val="bs-Latn-BA"/>
              </w:rPr>
              <w:t>4</w:t>
            </w:r>
            <w:r w:rsidR="00444578" w:rsidRPr="004F7E58">
              <w:rPr>
                <w:noProof/>
                <w:lang w:val="bs-Latn-BA"/>
              </w:rPr>
              <w:t xml:space="preserve">. godine. </w:t>
            </w:r>
          </w:p>
        </w:tc>
      </w:tr>
    </w:tbl>
    <w:p w14:paraId="50D6EF61" w14:textId="77777777" w:rsidR="00296FEA" w:rsidRPr="004F7E58" w:rsidRDefault="00296FEA" w:rsidP="00296FEA"/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6206"/>
        <w:gridCol w:w="2758"/>
      </w:tblGrid>
      <w:tr w:rsidR="00296FEA" w:rsidRPr="004F7E58" w14:paraId="39FD3984" w14:textId="77777777" w:rsidTr="00DF3108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79C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0AC" w14:textId="1294205D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90FD" w14:textId="6F86EB45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039B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96FEA" w:rsidRPr="004F7E58" w14:paraId="32D800A0" w14:textId="77777777" w:rsidTr="008E66AD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D51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763" w14:textId="54A9DE92" w:rsidR="00296FEA" w:rsidRPr="004F7E58" w:rsidRDefault="00E0630B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II.2.1 Harmonizacija pravnih akata u skladu sa mjerama Globalnog foruma OECD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350EE6F" w14:textId="684D3046" w:rsidR="00296FEA" w:rsidRPr="004F7E58" w:rsidRDefault="00493208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2663A9" w:rsidRPr="004F7E58" w14:paraId="4E924734" w14:textId="77777777" w:rsidTr="00DF3108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DF9" w14:textId="77777777" w:rsidR="002663A9" w:rsidRPr="004F7E58" w:rsidRDefault="002663A9" w:rsidP="002663A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86BF" w14:textId="4F36E081" w:rsidR="002663A9" w:rsidRPr="004F7E58" w:rsidRDefault="00CB5F73" w:rsidP="002663A9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II.2.A  Aktivnosti na harmonizaciji pravnog okvira sa mjerama Globalnog foruma OECD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C3D8F" w14:textId="378ACF21" w:rsidR="002663A9" w:rsidRPr="004F7E58" w:rsidRDefault="002663A9" w:rsidP="002663A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296FEA" w:rsidRPr="004F7E58" w14:paraId="235BAAF1" w14:textId="77777777" w:rsidTr="00DF3108">
        <w:trPr>
          <w:cantSplit/>
        </w:trPr>
        <w:tc>
          <w:tcPr>
            <w:tcW w:w="511" w:type="dxa"/>
            <w:tcBorders>
              <w:top w:val="single" w:sz="4" w:space="0" w:color="auto"/>
            </w:tcBorders>
          </w:tcPr>
          <w:p w14:paraId="5CC26ED4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4" w:type="dxa"/>
            <w:gridSpan w:val="2"/>
            <w:tcBorders>
              <w:top w:val="single" w:sz="4" w:space="0" w:color="auto"/>
            </w:tcBorders>
          </w:tcPr>
          <w:p w14:paraId="6FEC0462" w14:textId="41E2B187" w:rsidR="00EA01D4" w:rsidRPr="004F7E58" w:rsidRDefault="00EA01D4" w:rsidP="00493208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Tokom 2022. godine završeno je prikupljanje podataka i informacija o relevantnim smjernicama za implementaciju međunarodnih standarda Globalnog foruma OECD u pravni okvir, i Vlada FBiH je usvojila Informaciju o Globalnom forumu. </w:t>
            </w:r>
          </w:p>
          <w:p w14:paraId="356A7527" w14:textId="23B4CBFA" w:rsidR="005039BB" w:rsidRPr="004F7E58" w:rsidRDefault="005776F7" w:rsidP="008E66AD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i/>
                <w:lang w:val="bs-Latn-BA"/>
              </w:rPr>
              <w:t>Peer review</w:t>
            </w:r>
            <w:r w:rsidRPr="004F7E58">
              <w:rPr>
                <w:lang w:val="bs-Latn-BA"/>
              </w:rPr>
              <w:t xml:space="preserve"> je obavljen </w:t>
            </w:r>
            <w:r w:rsidR="00234CF2" w:rsidRPr="004F7E58">
              <w:rPr>
                <w:lang w:val="bs-Latn-BA"/>
              </w:rPr>
              <w:t xml:space="preserve">u 2024. godini </w:t>
            </w:r>
            <w:r w:rsidRPr="004F7E58">
              <w:rPr>
                <w:lang w:val="bs-Latn-BA"/>
              </w:rPr>
              <w:t>i dostavljen je izvještaj o pregledu krajem 2024. godine. Bi</w:t>
            </w:r>
            <w:r w:rsidR="00B81145" w:rsidRPr="004F7E58">
              <w:rPr>
                <w:lang w:val="bs-Latn-BA"/>
              </w:rPr>
              <w:t>H</w:t>
            </w:r>
            <w:r w:rsidRPr="004F7E58">
              <w:rPr>
                <w:lang w:val="bs-Latn-BA"/>
              </w:rPr>
              <w:t xml:space="preserve"> je ocijenjena zadovoljavajućom ocjenom uz date preporuka za unaprijeđenja. Planira se početak implementacije preporuka tokom 2025. godine. </w:t>
            </w:r>
          </w:p>
          <w:p w14:paraId="40D0BFD2" w14:textId="2E983D53" w:rsidR="005039BB" w:rsidRPr="004F7E58" w:rsidRDefault="005039BB" w:rsidP="008E66AD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0EB99640" w14:textId="77777777" w:rsidR="00296FEA" w:rsidRPr="004F7E58" w:rsidRDefault="00296FEA" w:rsidP="00296FEA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176"/>
        <w:gridCol w:w="2784"/>
      </w:tblGrid>
      <w:tr w:rsidR="00296FEA" w:rsidRPr="004F7E58" w14:paraId="796160BE" w14:textId="77777777" w:rsidTr="00215187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DFA8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1AB" w14:textId="3CD73100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B75" w14:textId="118C6E0B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E0630B" w:rsidRPr="004F7E58" w14:paraId="25854886" w14:textId="77777777" w:rsidTr="00234CF2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FAD" w14:textId="77777777" w:rsidR="00E0630B" w:rsidRPr="004F7E58" w:rsidRDefault="00E0630B" w:rsidP="00E0630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A3FD" w14:textId="16E4B65D" w:rsidR="00E0630B" w:rsidRPr="004F7E58" w:rsidRDefault="00E0630B" w:rsidP="00E0630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II.2.2 Harmonizacija pravnih akata u skladu sa akcijama BEPS-a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A4C2071" w14:textId="0468100A" w:rsidR="00E0630B" w:rsidRPr="004F7E58" w:rsidRDefault="00D82F95" w:rsidP="00D82F95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5776F7" w:rsidRPr="004F7E58">
              <w:rPr>
                <w:noProof/>
                <w:lang w:val="bs-Latn-BA"/>
              </w:rPr>
              <w:t>u 2023. godini.</w:t>
            </w:r>
          </w:p>
        </w:tc>
      </w:tr>
      <w:tr w:rsidR="000654F4" w:rsidRPr="004F7E58" w14:paraId="2E873D6F" w14:textId="77777777" w:rsidTr="00234CF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C5F" w14:textId="77777777" w:rsidR="000654F4" w:rsidRPr="004F7E58" w:rsidRDefault="000654F4" w:rsidP="000654F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8B1F" w14:textId="17787709" w:rsidR="000654F4" w:rsidRPr="004F7E58" w:rsidRDefault="000654F4" w:rsidP="000654F4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II.2.B  Aktivnosti na harmonizaciji pravnog okvirasa BEPS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EDF1075" w14:textId="0ED355FB" w:rsidR="000654F4" w:rsidRPr="004F7E58" w:rsidRDefault="003B427C" w:rsidP="000654F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je</w:t>
            </w:r>
            <w:r w:rsidR="00D82F95" w:rsidRPr="004F7E58">
              <w:rPr>
                <w:noProof/>
                <w:lang w:val="bs-Latn-BA"/>
              </w:rPr>
              <w:t xml:space="preserve"> postignut</w:t>
            </w:r>
          </w:p>
        </w:tc>
      </w:tr>
      <w:tr w:rsidR="00296FEA" w:rsidRPr="004F7E58" w14:paraId="246CDEA1" w14:textId="77777777" w:rsidTr="00215187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154C9881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0DF25328" w14:textId="259DEBF5" w:rsidR="00296FEA" w:rsidRPr="004F7E58" w:rsidRDefault="00D82F95" w:rsidP="009971CF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Tokom 2023. godini je u potpunosti provedena ova aktivnost, uključujući</w:t>
            </w:r>
            <w:r w:rsidR="00CD4386" w:rsidRPr="004F7E58">
              <w:rPr>
                <w:lang w:val="bs-Latn-BA"/>
              </w:rPr>
              <w:t xml:space="preserve"> izrad</w:t>
            </w:r>
            <w:r w:rsidRPr="004F7E58">
              <w:rPr>
                <w:lang w:val="bs-Latn-BA"/>
              </w:rPr>
              <w:t>u</w:t>
            </w:r>
            <w:r w:rsidR="00CD4386" w:rsidRPr="004F7E58">
              <w:rPr>
                <w:lang w:val="bs-Latn-BA"/>
              </w:rPr>
              <w:t xml:space="preserve"> i usvajanj</w:t>
            </w:r>
            <w:r w:rsidRPr="004F7E58">
              <w:rPr>
                <w:lang w:val="bs-Latn-BA"/>
              </w:rPr>
              <w:t>e</w:t>
            </w:r>
            <w:r w:rsidR="00CD4386" w:rsidRPr="004F7E58">
              <w:rPr>
                <w:lang w:val="bs-Latn-BA"/>
              </w:rPr>
              <w:t xml:space="preserve"> Akcionog plana za implementaciju akcija BEPSa.</w:t>
            </w:r>
            <w:r w:rsidR="009971CF" w:rsidRPr="004F7E58">
              <w:rPr>
                <w:lang w:val="bs-Latn-BA"/>
              </w:rPr>
              <w:t xml:space="preserve"> </w:t>
            </w:r>
          </w:p>
        </w:tc>
      </w:tr>
    </w:tbl>
    <w:p w14:paraId="7FA589B2" w14:textId="36DBD2B8" w:rsidR="00296FEA" w:rsidRPr="004F7E58" w:rsidRDefault="00296FEA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09738A" w:rsidRPr="004F7E58" w14:paraId="1837DDC0" w14:textId="77777777" w:rsidTr="000654F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7C0" w14:textId="77777777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1263" w14:textId="77777777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E4D" w14:textId="21A8C02A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96B29" w:rsidRPr="004F7E58" w14:paraId="5BE56F1A" w14:textId="77777777" w:rsidTr="00234CF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D70F" w14:textId="77777777" w:rsidR="00A96B29" w:rsidRPr="004F7E58" w:rsidRDefault="00A96B29" w:rsidP="00A96B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18CA" w14:textId="4D3CE7AB" w:rsidR="00A96B29" w:rsidRPr="004F7E58" w:rsidRDefault="00A96B29" w:rsidP="00A96B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II.2.3 Harmonizacija pravnog okvira za razvoj digitalizacije ekonomije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DC04" w14:textId="77D6DF00" w:rsidR="00A96B29" w:rsidRPr="004F7E58" w:rsidRDefault="005776F7" w:rsidP="00A96B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2024.)</w:t>
            </w:r>
          </w:p>
        </w:tc>
      </w:tr>
      <w:tr w:rsidR="000654F4" w:rsidRPr="004F7E58" w14:paraId="7D5FCAC8" w14:textId="77777777" w:rsidTr="006B138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16A2" w14:textId="77777777" w:rsidR="000654F4" w:rsidRPr="004F7E58" w:rsidRDefault="000654F4" w:rsidP="000654F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4B1" w14:textId="18A3F64E" w:rsidR="000654F4" w:rsidRPr="004F7E58" w:rsidRDefault="000654F4" w:rsidP="000654F4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II.2.C Poslovne procese uskladiti sa razvojem digitalne ekonomije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1CADA" w14:textId="49C131E1" w:rsidR="000654F4" w:rsidRPr="004F7E58" w:rsidRDefault="000654F4" w:rsidP="000654F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Rok za realizaciju još nije istekao</w:t>
            </w:r>
          </w:p>
        </w:tc>
      </w:tr>
      <w:tr w:rsidR="0047595E" w:rsidRPr="004F7E58" w14:paraId="32978A34" w14:textId="77777777" w:rsidTr="00A96B29">
        <w:trPr>
          <w:cantSplit/>
          <w:trHeight w:val="253"/>
        </w:trPr>
        <w:tc>
          <w:tcPr>
            <w:tcW w:w="510" w:type="dxa"/>
            <w:tcBorders>
              <w:top w:val="single" w:sz="4" w:space="0" w:color="auto"/>
            </w:tcBorders>
          </w:tcPr>
          <w:p w14:paraId="5EF366B2" w14:textId="77777777" w:rsidR="0047595E" w:rsidRPr="004F7E58" w:rsidRDefault="0047595E" w:rsidP="0047595E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AB7A73C" w14:textId="180CC7BE" w:rsidR="0047595E" w:rsidRPr="004F7E58" w:rsidRDefault="0047595E" w:rsidP="00AB696A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66BB2F46" w14:textId="77777777" w:rsidR="0009738A" w:rsidRPr="004F7E58" w:rsidRDefault="0009738A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176"/>
        <w:gridCol w:w="2789"/>
      </w:tblGrid>
      <w:tr w:rsidR="005205DF" w:rsidRPr="004F7E58" w14:paraId="67F76493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8AF" w14:textId="77777777" w:rsidR="005205DF" w:rsidRPr="004F7E58" w:rsidRDefault="005205DF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9F5" w14:textId="77777777" w:rsidR="005205DF" w:rsidRPr="004F7E58" w:rsidRDefault="005205DF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151" w14:textId="04A56F0A" w:rsidR="005205DF" w:rsidRPr="004F7E58" w:rsidRDefault="005205DF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17BC1" w:rsidRPr="004F7E58" w14:paraId="5E86619B" w14:textId="77777777" w:rsidTr="00217BC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456E" w14:textId="77777777" w:rsidR="00217BC1" w:rsidRPr="004F7E58" w:rsidRDefault="00217BC1" w:rsidP="00217BC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144" w14:textId="15DF2384" w:rsidR="00217BC1" w:rsidRPr="004F7E58" w:rsidRDefault="00217BC1" w:rsidP="00217BC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II.2.4 Razmjena informacija sa drugim poreznim jurisdikcijama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2278EF" w14:textId="4315E49E" w:rsidR="00217BC1" w:rsidRPr="004F7E58" w:rsidRDefault="00217BC1" w:rsidP="00217BC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6B1385" w:rsidRPr="004F7E58" w14:paraId="1C7E94E2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7004" w14:textId="77777777" w:rsidR="006B1385" w:rsidRPr="004F7E58" w:rsidRDefault="006B1385" w:rsidP="006B138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3B32" w14:textId="6D97FEFC" w:rsidR="006B1385" w:rsidRPr="004F7E58" w:rsidRDefault="006B1385" w:rsidP="006B138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II.2.D Početak  uspostave razmjene podataka digitalnim načinom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CBCAA" w14:textId="08DF699E" w:rsidR="006B1385" w:rsidRPr="004F7E58" w:rsidRDefault="006B1385" w:rsidP="006B138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5205DF" w:rsidRPr="004F7E58" w14:paraId="1DA8B208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F2274BF" w14:textId="77777777" w:rsidR="005205DF" w:rsidRPr="004F7E58" w:rsidRDefault="005205DF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7F31FA4" w14:textId="74343576" w:rsidR="005205DF" w:rsidRPr="004F7E58" w:rsidRDefault="00217BC1" w:rsidP="007D7D7E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Tokom 202</w:t>
            </w:r>
            <w:r w:rsidR="00D200D1" w:rsidRPr="004F7E58">
              <w:rPr>
                <w:noProof/>
                <w:lang w:val="bs-Latn-BA"/>
              </w:rPr>
              <w:t>3</w:t>
            </w:r>
            <w:r w:rsidRPr="004F7E58">
              <w:rPr>
                <w:noProof/>
                <w:lang w:val="bs-Latn-BA"/>
              </w:rPr>
              <w:t xml:space="preserve">. godine </w:t>
            </w:r>
            <w:r w:rsidR="00D200D1" w:rsidRPr="004F7E58">
              <w:rPr>
                <w:noProof/>
                <w:lang w:val="bs-Latn-BA"/>
              </w:rPr>
              <w:t>izrađen je</w:t>
            </w:r>
            <w:r w:rsidRPr="004F7E58">
              <w:rPr>
                <w:noProof/>
                <w:lang w:val="bs-Latn-BA"/>
              </w:rPr>
              <w:t xml:space="preserve"> </w:t>
            </w:r>
            <w:r w:rsidR="00D200D1" w:rsidRPr="004F7E58">
              <w:rPr>
                <w:noProof/>
                <w:lang w:val="bs-Latn-BA"/>
              </w:rPr>
              <w:t>Priručnik o razmjeni informacija u porezne svrhe</w:t>
            </w:r>
            <w:r w:rsidRPr="004F7E58">
              <w:rPr>
                <w:noProof/>
                <w:lang w:val="bs-Latn-BA"/>
              </w:rPr>
              <w:t>,</w:t>
            </w:r>
            <w:r w:rsidR="00D200D1" w:rsidRPr="004F7E58">
              <w:rPr>
                <w:noProof/>
                <w:lang w:val="bs-Latn-BA"/>
              </w:rPr>
              <w:t xml:space="preserve"> te je njegovo usvajanje i implementacija realiziran</w:t>
            </w:r>
            <w:r w:rsidR="00234CF2" w:rsidRPr="004F7E58">
              <w:rPr>
                <w:noProof/>
                <w:lang w:val="bs-Latn-BA"/>
              </w:rPr>
              <w:t>o</w:t>
            </w:r>
            <w:r w:rsidR="00D200D1" w:rsidRPr="004F7E58">
              <w:rPr>
                <w:noProof/>
                <w:lang w:val="bs-Latn-BA"/>
              </w:rPr>
              <w:t xml:space="preserve"> </w:t>
            </w:r>
            <w:r w:rsidR="00234CF2" w:rsidRPr="004F7E58">
              <w:rPr>
                <w:noProof/>
                <w:lang w:val="bs-Latn-BA"/>
              </w:rPr>
              <w:t>tokom</w:t>
            </w:r>
            <w:r w:rsidR="00D200D1" w:rsidRPr="004F7E58">
              <w:rPr>
                <w:noProof/>
                <w:lang w:val="bs-Latn-BA"/>
              </w:rPr>
              <w:t xml:space="preserve"> 2024. godine. Dalje aktivnosti </w:t>
            </w:r>
            <w:r w:rsidR="00234CF2" w:rsidRPr="004F7E58">
              <w:rPr>
                <w:noProof/>
                <w:lang w:val="bs-Latn-BA"/>
              </w:rPr>
              <w:t xml:space="preserve">su </w:t>
            </w:r>
            <w:r w:rsidR="00D200D1" w:rsidRPr="004F7E58">
              <w:rPr>
                <w:noProof/>
                <w:lang w:val="bs-Latn-BA"/>
              </w:rPr>
              <w:t xml:space="preserve">planirane </w:t>
            </w:r>
            <w:r w:rsidR="00234CF2" w:rsidRPr="004F7E58">
              <w:rPr>
                <w:noProof/>
                <w:lang w:val="bs-Latn-BA"/>
              </w:rPr>
              <w:t>za</w:t>
            </w:r>
            <w:r w:rsidR="009A7642" w:rsidRPr="004F7E58">
              <w:rPr>
                <w:noProof/>
                <w:lang w:val="bs-Latn-BA"/>
              </w:rPr>
              <w:t xml:space="preserve"> 2025</w:t>
            </w:r>
            <w:r w:rsidR="00D200D1" w:rsidRPr="004F7E58">
              <w:rPr>
                <w:noProof/>
                <w:lang w:val="bs-Latn-BA"/>
              </w:rPr>
              <w:t>.</w:t>
            </w:r>
            <w:r w:rsidR="009A7642" w:rsidRPr="004F7E58">
              <w:rPr>
                <w:noProof/>
                <w:lang w:val="bs-Latn-BA"/>
              </w:rPr>
              <w:t xml:space="preserve"> godin</w:t>
            </w:r>
            <w:r w:rsidR="00234CF2" w:rsidRPr="004F7E58">
              <w:rPr>
                <w:noProof/>
                <w:lang w:val="bs-Latn-BA"/>
              </w:rPr>
              <w:t>u</w:t>
            </w:r>
            <w:r w:rsidR="00D200D1" w:rsidRPr="004F7E58">
              <w:rPr>
                <w:noProof/>
                <w:lang w:val="bs-Latn-BA"/>
              </w:rPr>
              <w:t>.</w:t>
            </w:r>
          </w:p>
          <w:p w14:paraId="58897833" w14:textId="77777777" w:rsidR="00234CF2" w:rsidRPr="004F7E58" w:rsidRDefault="00234CF2" w:rsidP="00234CF2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OECD-ov tim za tehničku pomoć u 2024. godini izvršio je Preliminarnu procjenu ISM (Information Security Management) aranžmana Porezne uprave Federacije Bosne i Hercegovine i njene ukupne spremnosti za automatsku razmjenu informacija.</w:t>
            </w:r>
          </w:p>
          <w:p w14:paraId="554EE7C2" w14:textId="385AF907" w:rsidR="00D200D1" w:rsidRPr="004F7E58" w:rsidRDefault="00D200D1" w:rsidP="00D200D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Planirana</w:t>
            </w:r>
            <w:r w:rsidR="00234CF2" w:rsidRPr="004F7E58">
              <w:rPr>
                <w:lang w:val="bs-Latn-BA"/>
              </w:rPr>
              <w:t xml:space="preserve"> su</w:t>
            </w:r>
            <w:r w:rsidRPr="004F7E58">
              <w:rPr>
                <w:lang w:val="bs-Latn-BA"/>
              </w:rPr>
              <w:t xml:space="preserve"> finansijska sredstva u P</w:t>
            </w:r>
            <w:r w:rsidR="00234CF2" w:rsidRPr="004F7E58">
              <w:rPr>
                <w:lang w:val="bs-Latn-BA"/>
              </w:rPr>
              <w:t>oreskoj upravi</w:t>
            </w:r>
            <w:r w:rsidRPr="004F7E58">
              <w:rPr>
                <w:lang w:val="bs-Latn-BA"/>
              </w:rPr>
              <w:t xml:space="preserve"> FBiH za razvijanje softwerskog rješenja kako bi se omogućila automatska razmjena izvještaja po zemljama (eng. country by country reporting - CbCR), odnosno implementirala Akcija 13 BEPS projekta - minimalni standard.</w:t>
            </w:r>
          </w:p>
          <w:p w14:paraId="39B2DBD8" w14:textId="1D9EF83F" w:rsidR="00D200D1" w:rsidRPr="004F7E58" w:rsidRDefault="00D200D1" w:rsidP="00234CF2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U “Službenim novinama Federacije Bosne i Hercegovine“, broj 92/24 od 20.11.2024. godine objavljen je Pravilnik o izmjenama Pravilnik o transfernim cijenama, čime su realizovane tri preporuke za Bosnu i Hercegovinu iz BEPS Akcije 13 – Dokumentacija o transfernim cijenama i izvještavanje po zemljama.</w:t>
            </w:r>
          </w:p>
        </w:tc>
      </w:tr>
    </w:tbl>
    <w:p w14:paraId="670E28F6" w14:textId="77777777" w:rsidR="005205DF" w:rsidRPr="004F7E58" w:rsidRDefault="005205DF" w:rsidP="00296FEA">
      <w:pPr>
        <w:pStyle w:val="NormalPFM1"/>
        <w:rPr>
          <w:lang w:val="bs-Latn-BA"/>
        </w:rPr>
      </w:pPr>
    </w:p>
    <w:p w14:paraId="0CA06F3F" w14:textId="2452A097" w:rsidR="00296FEA" w:rsidRPr="004F7E58" w:rsidRDefault="00463332" w:rsidP="00215187">
      <w:pPr>
        <w:pStyle w:val="Heading4"/>
        <w:rPr>
          <w:b/>
          <w:i w:val="0"/>
          <w:color w:val="C00000"/>
          <w:sz w:val="24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>4.2.3.3</w:t>
      </w:r>
      <w:r w:rsidRPr="004F7E58">
        <w:rPr>
          <w:b/>
          <w:color w:val="C00000"/>
          <w:sz w:val="24"/>
          <w:lang w:val="bs-Latn-BA"/>
        </w:rPr>
        <w:t xml:space="preserve"> </w:t>
      </w:r>
      <w:r w:rsidR="00296FEA" w:rsidRPr="004F7E58">
        <w:rPr>
          <w:b/>
          <w:i w:val="0"/>
          <w:color w:val="C00000"/>
          <w:sz w:val="24"/>
          <w:lang w:val="bs-Latn-BA"/>
        </w:rPr>
        <w:t>MJERA: I</w:t>
      </w:r>
      <w:r w:rsidR="00B9686F" w:rsidRPr="004F7E58">
        <w:rPr>
          <w:b/>
          <w:i w:val="0"/>
          <w:color w:val="C00000"/>
          <w:sz w:val="24"/>
          <w:lang w:val="bs-Latn-BA"/>
        </w:rPr>
        <w:t>I</w:t>
      </w:r>
      <w:r w:rsidR="00296FEA" w:rsidRPr="004F7E58">
        <w:rPr>
          <w:b/>
          <w:i w:val="0"/>
          <w:color w:val="C00000"/>
          <w:sz w:val="24"/>
          <w:lang w:val="bs-Latn-BA"/>
        </w:rPr>
        <w:t xml:space="preserve">.3. </w:t>
      </w:r>
      <w:r w:rsidR="001240ED" w:rsidRPr="004F7E58">
        <w:rPr>
          <w:b/>
          <w:i w:val="0"/>
          <w:color w:val="C00000"/>
          <w:sz w:val="24"/>
          <w:lang w:val="bs-Latn-BA"/>
        </w:rPr>
        <w:t>Suzbijanje sive ekonomije</w:t>
      </w:r>
    </w:p>
    <w:p w14:paraId="01D887DA" w14:textId="77777777" w:rsidR="00296FEA" w:rsidRPr="004F7E58" w:rsidRDefault="00296FEA" w:rsidP="00296FEA">
      <w:pPr>
        <w:rPr>
          <w:b/>
          <w:lang w:val="bs-Latn-BA"/>
        </w:rPr>
      </w:pPr>
    </w:p>
    <w:p w14:paraId="6AE06001" w14:textId="7846F70B" w:rsidR="00296FEA" w:rsidRPr="004F7E58" w:rsidRDefault="00296FEA" w:rsidP="00296FEA">
      <w:pPr>
        <w:rPr>
          <w:b/>
          <w:lang w:val="bs-Latn-BA"/>
        </w:rPr>
      </w:pPr>
      <w:r w:rsidRPr="004F7E58">
        <w:rPr>
          <w:b/>
          <w:lang w:val="bs-Latn-BA"/>
        </w:rPr>
        <w:t>Pregled aktivnosti i rezultata u okviru mjere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595E" w:rsidRPr="004F7E58" w14:paraId="540DF6D1" w14:textId="77777777" w:rsidTr="00DC7F97">
        <w:tc>
          <w:tcPr>
            <w:tcW w:w="9350" w:type="dxa"/>
          </w:tcPr>
          <w:p w14:paraId="6EC699FA" w14:textId="4DB3111E" w:rsidR="0047595E" w:rsidRPr="004F7E58" w:rsidRDefault="0047595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U izvještajnom periodu u okviru mjere</w:t>
            </w:r>
            <w:r w:rsidR="00E2450B" w:rsidRPr="004F7E58">
              <w:rPr>
                <w:noProof/>
                <w:lang w:val="bs-Latn-BA"/>
              </w:rPr>
              <w:t xml:space="preserve">, </w:t>
            </w:r>
            <w:r w:rsidR="00A218EE" w:rsidRPr="004F7E58">
              <w:rPr>
                <w:noProof/>
                <w:lang w:val="bs-Latn-BA"/>
              </w:rPr>
              <w:t xml:space="preserve">jedna aktivnost je u toku, jedna </w:t>
            </w:r>
            <w:r w:rsidR="003755AF" w:rsidRPr="004F7E58">
              <w:rPr>
                <w:noProof/>
                <w:lang w:val="bs-Latn-BA"/>
              </w:rPr>
              <w:t>je obustavljena,</w:t>
            </w:r>
            <w:r w:rsidR="00A218EE" w:rsidRPr="004F7E58">
              <w:rPr>
                <w:noProof/>
                <w:lang w:val="bs-Latn-BA"/>
              </w:rPr>
              <w:t xml:space="preserve"> a ostale četiri nisu planirane za </w:t>
            </w:r>
            <w:r w:rsidR="0039402A" w:rsidRPr="004F7E58">
              <w:rPr>
                <w:noProof/>
                <w:lang w:val="bs-Latn-BA"/>
              </w:rPr>
              <w:t xml:space="preserve">2024. </w:t>
            </w:r>
            <w:r w:rsidR="00A218EE" w:rsidRPr="004F7E58">
              <w:rPr>
                <w:noProof/>
                <w:lang w:val="bs-Latn-BA"/>
              </w:rPr>
              <w:t xml:space="preserve">godinu. </w:t>
            </w:r>
          </w:p>
        </w:tc>
      </w:tr>
      <w:tr w:rsidR="0047595E" w:rsidRPr="004F7E58" w14:paraId="625F5C86" w14:textId="77777777" w:rsidTr="00DC7F97">
        <w:tc>
          <w:tcPr>
            <w:tcW w:w="9350" w:type="dxa"/>
          </w:tcPr>
          <w:p w14:paraId="36C29874" w14:textId="0855EC83" w:rsidR="0047595E" w:rsidRPr="004F7E58" w:rsidRDefault="00DF3108" w:rsidP="00F15B13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Rokovi nisu istekli za </w:t>
            </w:r>
            <w:r w:rsidR="003755AF" w:rsidRPr="004F7E58">
              <w:rPr>
                <w:noProof/>
                <w:lang w:val="bs-Latn-BA"/>
              </w:rPr>
              <w:t xml:space="preserve">četiri </w:t>
            </w:r>
            <w:r w:rsidR="004500BD" w:rsidRPr="004F7E58">
              <w:rPr>
                <w:noProof/>
                <w:lang w:val="bs-Latn-BA"/>
              </w:rPr>
              <w:t xml:space="preserve"> rezultata mjere</w:t>
            </w:r>
            <w:r w:rsidR="00A218EE" w:rsidRPr="004F7E58">
              <w:rPr>
                <w:noProof/>
                <w:lang w:val="bs-Latn-BA"/>
              </w:rPr>
              <w:t>, dok je jedan djelimično postignut.</w:t>
            </w:r>
            <w:r w:rsidR="003755AF" w:rsidRPr="004F7E58">
              <w:rPr>
                <w:noProof/>
                <w:lang w:val="bs-Latn-BA"/>
              </w:rPr>
              <w:t xml:space="preserve"> Rezultat mjere „Veći stepen evidentiranog  prometa i povećanje priliva sredstava  u budžete svih nivoa vlasti“ se briše pošto je aktivnost obustavljena.</w:t>
            </w:r>
          </w:p>
        </w:tc>
      </w:tr>
    </w:tbl>
    <w:p w14:paraId="49AF193C" w14:textId="77777777" w:rsidR="00296FEA" w:rsidRPr="004F7E58" w:rsidRDefault="00296FEA" w:rsidP="00296FEA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172"/>
        <w:gridCol w:w="2788"/>
      </w:tblGrid>
      <w:tr w:rsidR="00296FEA" w:rsidRPr="004F7E58" w14:paraId="760EFA1E" w14:textId="77777777" w:rsidTr="00DF3108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E37E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AA9" w14:textId="08AC493D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3932" w14:textId="418379AB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</w:p>
        </w:tc>
      </w:tr>
      <w:tr w:rsidR="00A41965" w:rsidRPr="004F7E58" w14:paraId="1FB22650" w14:textId="77777777" w:rsidTr="00901321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51A0" w14:textId="77777777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435C" w14:textId="46A82763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II.3.1 Identificirati uzroke i posljedice sive ekonomije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B1143" w14:textId="50B81827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5776F7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A41965" w:rsidRPr="004F7E58" w14:paraId="02D76584" w14:textId="77777777" w:rsidTr="00D25CD2">
        <w:trPr>
          <w:cantSplit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47EFE" w14:textId="77777777" w:rsidR="00A41965" w:rsidRPr="004F7E58" w:rsidRDefault="00A41965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8507" w14:textId="12B64983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II.3.A. Implementacija akcionog plana za borbu protiv sive ekonomije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44491" w14:textId="21F0510F" w:rsidR="00A41965" w:rsidRPr="004F7E58" w:rsidRDefault="00A41965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A41965" w:rsidRPr="004F7E58" w14:paraId="35B0A5DF" w14:textId="77777777" w:rsidTr="00D25CD2">
        <w:trPr>
          <w:cantSplit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6BC" w14:textId="77777777" w:rsidR="00A41965" w:rsidRPr="004F7E58" w:rsidRDefault="00A41965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34F" w14:textId="0FD3BA77" w:rsidR="00A41965" w:rsidRPr="004F7E58" w:rsidRDefault="00A41965" w:rsidP="004500BD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II.3.B Povećanje koeficijenta raspodjele prihoda sa Jedinstvenog računa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1FE96" w14:textId="6B6B7A27" w:rsidR="00A41965" w:rsidRPr="004F7E58" w:rsidRDefault="00A41965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296FEA" w:rsidRPr="004F7E58" w14:paraId="23ECD72D" w14:textId="77777777" w:rsidTr="00DF3108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1C5E2FBA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51F44AF7" w14:textId="53F1CFF4" w:rsidR="00296FEA" w:rsidRPr="004F7E58" w:rsidRDefault="009A7642" w:rsidP="00901321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 </w:t>
            </w:r>
          </w:p>
        </w:tc>
      </w:tr>
    </w:tbl>
    <w:p w14:paraId="1325326B" w14:textId="77777777" w:rsidR="009B7FAB" w:rsidRPr="004F7E58" w:rsidRDefault="009B7FAB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172"/>
        <w:gridCol w:w="2788"/>
      </w:tblGrid>
      <w:tr w:rsidR="0009738A" w:rsidRPr="004F7E58" w14:paraId="55064F21" w14:textId="77777777" w:rsidTr="00F92F39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BB3E" w14:textId="77777777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3E4" w14:textId="77777777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C78D" w14:textId="56DA3C44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09738A" w:rsidRPr="004F7E58" w14:paraId="7CAF7D39" w14:textId="77777777" w:rsidTr="00F92F39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75D5" w14:textId="77777777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6C34" w14:textId="03008298" w:rsidR="0009738A" w:rsidRPr="004F7E58" w:rsidRDefault="0009738A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II.3.2 Izraditi model izračuna sive ekonomije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B0298" w14:textId="73A6CCE3" w:rsidR="0009738A" w:rsidRPr="004F7E58" w:rsidRDefault="0009738A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(nije ni predviđeno u </w:t>
            </w:r>
            <w:r w:rsidR="00A41965" w:rsidRPr="004F7E58">
              <w:rPr>
                <w:noProof/>
                <w:lang w:val="bs-Latn-BA"/>
              </w:rPr>
              <w:t>202</w:t>
            </w:r>
            <w:r w:rsidR="005776F7"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2236F9" w:rsidRPr="004F7E58" w14:paraId="0A95E92C" w14:textId="77777777" w:rsidTr="002236F9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E538" w14:textId="77777777" w:rsidR="002236F9" w:rsidRPr="004F7E58" w:rsidRDefault="002236F9" w:rsidP="002236F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9CBD" w14:textId="54D5504F" w:rsidR="002236F9" w:rsidRPr="004F7E58" w:rsidRDefault="002236F9" w:rsidP="00F15B13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</w:t>
            </w:r>
            <w:r w:rsidR="00F15B13" w:rsidRPr="004F7E58">
              <w:rPr>
                <w:noProof/>
                <w:lang w:val="bs-Latn-BA"/>
              </w:rPr>
              <w:t>X</w:t>
            </w:r>
            <w:r w:rsidRPr="004F7E58">
              <w:rPr>
                <w:noProof/>
                <w:lang w:val="bs-Latn-BA"/>
              </w:rPr>
              <w:t xml:space="preserve"> FMF je kontinuirano u posjedu podataka, modela i resursa potrebnih za analizu sive ekonomije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2E131" w14:textId="1676C509" w:rsidR="002236F9" w:rsidRPr="004F7E58" w:rsidRDefault="002236F9" w:rsidP="002236F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09738A" w:rsidRPr="004F7E58" w14:paraId="1DF42601" w14:textId="77777777" w:rsidTr="00F92F39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341F04B1" w14:textId="77777777" w:rsidR="0009738A" w:rsidRPr="004F7E58" w:rsidRDefault="0009738A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2503CD9F" w14:textId="7EC3A62B" w:rsidR="0009738A" w:rsidRPr="004F7E58" w:rsidRDefault="0009738A" w:rsidP="00A41965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641FCEDC" w14:textId="77777777" w:rsidR="0009738A" w:rsidRPr="004F7E58" w:rsidRDefault="0009738A" w:rsidP="00296FEA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179"/>
        <w:gridCol w:w="2786"/>
      </w:tblGrid>
      <w:tr w:rsidR="00296FEA" w:rsidRPr="004F7E58" w14:paraId="5948DAB2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C11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953" w14:textId="2AFA2A6D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7420" w14:textId="21261CBE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41965" w:rsidRPr="004F7E58" w14:paraId="54B128B8" w14:textId="77777777" w:rsidTr="00E2450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CE28" w14:textId="77777777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B928" w14:textId="3E7CD031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II.3.3 Efikasniji nadzor nad tokovima sive ekonomije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33190" w14:textId="231B1956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5776F7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4500BD" w:rsidRPr="004F7E58" w14:paraId="55A355C4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F8A8" w14:textId="77777777" w:rsidR="004500BD" w:rsidRPr="004F7E58" w:rsidRDefault="004500BD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0865" w14:textId="5FEC1684" w:rsidR="004500BD" w:rsidRPr="004F7E58" w:rsidRDefault="004500BD" w:rsidP="004500BD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II.3.C. </w:t>
            </w:r>
            <w:r w:rsidR="005E53C0" w:rsidRPr="004F7E58">
              <w:rPr>
                <w:noProof/>
                <w:lang w:val="bs-Latn-BA"/>
              </w:rPr>
              <w:t xml:space="preserve">Povećanje </w:t>
            </w:r>
            <w:r w:rsidRPr="004F7E58">
              <w:rPr>
                <w:noProof/>
                <w:lang w:val="bs-Latn-BA"/>
              </w:rPr>
              <w:t>koeficijenta raspodjele prihoda od indirektnih poreza sa Jedinstvenog računa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9C97B" w14:textId="7EAFEC20" w:rsidR="004500BD" w:rsidRPr="004F7E58" w:rsidRDefault="004500BD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A41965" w:rsidRPr="004F7E58" w14:paraId="53C72B87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761E111F" w14:textId="77777777" w:rsidR="00A41965" w:rsidRPr="004F7E58" w:rsidRDefault="00A41965" w:rsidP="00A4196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BB6EDA2" w14:textId="32CABA5B" w:rsidR="00A41965" w:rsidRPr="004F7E58" w:rsidRDefault="00A41965" w:rsidP="00A41965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1ADDC56B" w14:textId="6A4A8B3E" w:rsidR="00296FEA" w:rsidRPr="004F7E58" w:rsidRDefault="00296FEA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176"/>
        <w:gridCol w:w="2789"/>
      </w:tblGrid>
      <w:tr w:rsidR="002E3047" w:rsidRPr="004F7E58" w14:paraId="4DA64DFE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306" w14:textId="77777777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94D" w14:textId="77777777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3D02" w14:textId="6D31AE0C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776F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9A7642" w:rsidRPr="004F7E58" w14:paraId="368CFDF7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211" w14:textId="77777777" w:rsidR="009A7642" w:rsidRPr="004F7E58" w:rsidRDefault="009A7642" w:rsidP="009A764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6305" w14:textId="22655915" w:rsidR="009A7642" w:rsidRPr="004F7E58" w:rsidRDefault="009A7642" w:rsidP="009A764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II.3.4 Edukacija građana o značaju fiskalnog računa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7D2C" w14:textId="021AA8A3" w:rsidR="009A7642" w:rsidRPr="004F7E58" w:rsidRDefault="00ED5180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Aktivnost </w:t>
            </w:r>
            <w:r w:rsidR="00AB73F1" w:rsidRPr="004F7E58">
              <w:rPr>
                <w:noProof/>
                <w:lang w:val="bs-Latn-BA"/>
              </w:rPr>
              <w:t>zaustavljena</w:t>
            </w:r>
          </w:p>
        </w:tc>
      </w:tr>
      <w:tr w:rsidR="004500BD" w:rsidRPr="004F7E58" w14:paraId="05E86A06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C5AB" w14:textId="77777777" w:rsidR="004500BD" w:rsidRPr="004F7E58" w:rsidRDefault="004500BD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2244" w14:textId="1B913F9E" w:rsidR="004500BD" w:rsidRPr="004F7E58" w:rsidRDefault="004500BD" w:rsidP="004500BD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II.3.D Veći stepen evidentiranog  prometa i povećanje priliva sredstava  u budžete svih nivoa vlasti 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48D2" w14:textId="5CC646B4" w:rsidR="004500BD" w:rsidRPr="004F7E58" w:rsidRDefault="007C416F" w:rsidP="004500B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Rezultat </w:t>
            </w:r>
            <w:r w:rsidR="00AB73F1" w:rsidRPr="004F7E58">
              <w:rPr>
                <w:noProof/>
                <w:lang w:val="bs-Latn-BA"/>
              </w:rPr>
              <w:t xml:space="preserve">mjere </w:t>
            </w:r>
            <w:r w:rsidRPr="004F7E58">
              <w:rPr>
                <w:noProof/>
                <w:lang w:val="bs-Latn-BA"/>
              </w:rPr>
              <w:t>se briše</w:t>
            </w:r>
          </w:p>
        </w:tc>
      </w:tr>
      <w:tr w:rsidR="00A41965" w:rsidRPr="004F7E58" w14:paraId="033D0AA7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0381177" w14:textId="77777777" w:rsidR="00A41965" w:rsidRPr="004F7E58" w:rsidRDefault="00A41965" w:rsidP="00A4196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202DF4B" w14:textId="7055928F" w:rsidR="005776F7" w:rsidRPr="004F7E58" w:rsidRDefault="00ED5180" w:rsidP="00ED518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FMF radi na novim zakonskim rješenjima u oblasti fiskalizacije koje mijenjaju trenutni sistem i ova aktivnost u tom kontekstu više nije potrebna. </w:t>
            </w:r>
          </w:p>
        </w:tc>
      </w:tr>
    </w:tbl>
    <w:p w14:paraId="48CCA682" w14:textId="03797B44" w:rsidR="002E3047" w:rsidRPr="004F7E58" w:rsidRDefault="002E3047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2E3047" w:rsidRPr="004F7E58" w14:paraId="79020E2F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6915" w14:textId="77777777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02D4" w14:textId="77777777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3B56" w14:textId="2073FC04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8275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8275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41965" w:rsidRPr="004F7E58" w14:paraId="698D7C80" w14:textId="77777777" w:rsidTr="00B91E6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06E6" w14:textId="77777777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A010" w14:textId="45BB31D5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II.3.5 Unaprijediti sistem za izvještavanje prema MONEYVAL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95EFB" w14:textId="7066D147" w:rsidR="00A41965" w:rsidRPr="004F7E58" w:rsidRDefault="00A41965" w:rsidP="00A4196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0F34FB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7E6463" w:rsidRPr="004F7E58" w14:paraId="3E34AC53" w14:textId="77777777" w:rsidTr="0006447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8FA" w14:textId="77777777" w:rsidR="007E6463" w:rsidRPr="004F7E58" w:rsidRDefault="007E6463" w:rsidP="007E646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C00A" w14:textId="5530D05D" w:rsidR="007E6463" w:rsidRPr="004F7E58" w:rsidRDefault="007E6463" w:rsidP="007E6463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II.3.E FMF je kapacitiran da izvještava prema zahtjevima MONEYVAL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004CB" w14:textId="4CB6756C" w:rsidR="007E6463" w:rsidRPr="004F7E58" w:rsidRDefault="007E6463" w:rsidP="007E646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A41965" w:rsidRPr="004F7E58" w14:paraId="751097A3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5C3B80F" w14:textId="77777777" w:rsidR="00A41965" w:rsidRPr="004F7E58" w:rsidRDefault="00A41965" w:rsidP="00A4196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078CB00" w14:textId="265BFCEB" w:rsidR="00A41965" w:rsidRPr="004F7E58" w:rsidRDefault="00A41965" w:rsidP="00715F9F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667A9EF1" w14:textId="189643D9" w:rsidR="002E3047" w:rsidRPr="004F7E58" w:rsidRDefault="002E3047" w:rsidP="00296FEA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170"/>
        <w:gridCol w:w="2790"/>
      </w:tblGrid>
      <w:tr w:rsidR="002E3047" w:rsidRPr="004F7E58" w14:paraId="2E4C3162" w14:textId="77777777" w:rsidTr="005C1914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EC4B" w14:textId="77777777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51B" w14:textId="77777777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A06" w14:textId="298F1BAE" w:rsidR="002E3047" w:rsidRPr="004F7E58" w:rsidRDefault="002E304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D5180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D5180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5C1914" w:rsidRPr="004F7E58" w14:paraId="10B47D73" w14:textId="77777777" w:rsidTr="00DE3C12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3C71" w14:textId="77777777" w:rsidR="005C1914" w:rsidRPr="004F7E58" w:rsidRDefault="005C1914" w:rsidP="005C191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8B9A" w14:textId="3D391773" w:rsidR="005C1914" w:rsidRPr="004F7E58" w:rsidRDefault="005C1914" w:rsidP="005C191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II.3.6 Jačanje kadrovskih kapaciteta Sektora za porezu politiku, javnih prihoda i igara na sreću Federalnog ministarstva finansija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8E508A" w14:textId="292851AC" w:rsidR="005C1914" w:rsidRPr="004F7E58" w:rsidRDefault="005C1914" w:rsidP="005C191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7E6463" w:rsidRPr="004F7E58" w14:paraId="16229F3B" w14:textId="77777777" w:rsidTr="00DE3C12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AE8" w14:textId="77777777" w:rsidR="007E6463" w:rsidRPr="004F7E58" w:rsidRDefault="007E6463" w:rsidP="007E646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4716" w14:textId="72D8356A" w:rsidR="007E6463" w:rsidRPr="004F7E58" w:rsidRDefault="007E6463" w:rsidP="007E6463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II.3.F Povećan kapacitet Sektora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F22D3C3" w14:textId="3CA65C54" w:rsidR="007E6463" w:rsidRPr="004F7E58" w:rsidRDefault="007E6463" w:rsidP="007E646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2E3047" w:rsidRPr="004F7E58" w14:paraId="0C1A346D" w14:textId="77777777" w:rsidTr="00D1520A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49436789" w14:textId="77777777" w:rsidR="002E3047" w:rsidRPr="004F7E58" w:rsidRDefault="002E3047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39E7C916" w14:textId="57A7B1AC" w:rsidR="00F06DA7" w:rsidRPr="004F7E58" w:rsidRDefault="000E7DFB" w:rsidP="007E6463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Ostvaren je napredak u jačanju kadrovskih kapaciteta Sektora za porezu politiku, javnih prihoda i igara na sreću FMF. Konkursne procedure započete u 2022. godini su realizovane u 2023. godini zapošljavanjem četiri nova zaposlenika. </w:t>
            </w:r>
            <w:r w:rsidR="004B694E" w:rsidRPr="004F7E58">
              <w:rPr>
                <w:lang w:val="bs-Latn-BA"/>
              </w:rPr>
              <w:t xml:space="preserve">Tokom 2024. godine </w:t>
            </w:r>
            <w:r w:rsidR="00ED5180" w:rsidRPr="004F7E58">
              <w:rPr>
                <w:lang w:val="bs-Latn-BA"/>
              </w:rPr>
              <w:t xml:space="preserve">je zaposlena još jedna osoba. Planira se zapošljavanje još dvije osobe. </w:t>
            </w:r>
          </w:p>
        </w:tc>
      </w:tr>
    </w:tbl>
    <w:p w14:paraId="42449FAF" w14:textId="77777777" w:rsidR="00B91E6E" w:rsidRPr="004F7E58" w:rsidRDefault="00B91E6E" w:rsidP="004F7E58">
      <w:pPr>
        <w:rPr>
          <w:lang w:val="bs-Latn-BA"/>
        </w:rPr>
      </w:pPr>
    </w:p>
    <w:p w14:paraId="48EB5883" w14:textId="477A84C7" w:rsidR="00296FEA" w:rsidRPr="004F7E58" w:rsidRDefault="00463332" w:rsidP="00D1520A">
      <w:pPr>
        <w:pStyle w:val="Heading4"/>
        <w:rPr>
          <w:b/>
          <w:i w:val="0"/>
          <w:color w:val="C00000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 xml:space="preserve">4.2.3.4 </w:t>
      </w:r>
      <w:r w:rsidR="00296FEA" w:rsidRPr="004F7E58">
        <w:rPr>
          <w:b/>
          <w:i w:val="0"/>
          <w:color w:val="C00000"/>
          <w:lang w:val="bs-Latn-BA"/>
        </w:rPr>
        <w:t>MJERA: I</w:t>
      </w:r>
      <w:r w:rsidR="00B9686F" w:rsidRPr="004F7E58">
        <w:rPr>
          <w:b/>
          <w:i w:val="0"/>
          <w:color w:val="C00000"/>
          <w:lang w:val="bs-Latn-BA"/>
        </w:rPr>
        <w:t>I</w:t>
      </w:r>
      <w:r w:rsidR="00296FEA" w:rsidRPr="004F7E58">
        <w:rPr>
          <w:b/>
          <w:i w:val="0"/>
          <w:color w:val="C00000"/>
          <w:lang w:val="bs-Latn-BA"/>
        </w:rPr>
        <w:t xml:space="preserve">.4. </w:t>
      </w:r>
      <w:r w:rsidR="0060766C" w:rsidRPr="004F7E58">
        <w:rPr>
          <w:b/>
          <w:i w:val="0"/>
          <w:color w:val="C00000"/>
          <w:sz w:val="24"/>
          <w:lang w:val="bs-Latn-BA"/>
        </w:rPr>
        <w:t>Unaprijediti poslovno okruženje uklanjanjem administrativnih barijera</w:t>
      </w:r>
    </w:p>
    <w:p w14:paraId="07AF6DBD" w14:textId="77777777" w:rsidR="00296FEA" w:rsidRPr="004F7E58" w:rsidRDefault="00296FEA" w:rsidP="00296FEA">
      <w:pPr>
        <w:rPr>
          <w:b/>
          <w:lang w:val="bs-Latn-BA"/>
        </w:rPr>
      </w:pPr>
    </w:p>
    <w:p w14:paraId="70119E75" w14:textId="57E9BB92" w:rsidR="00296FEA" w:rsidRPr="004F7E58" w:rsidRDefault="00296FEA" w:rsidP="00296FEA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595E" w:rsidRPr="004F7E58" w14:paraId="75A3B2F5" w14:textId="77777777" w:rsidTr="00DC7F97">
        <w:tc>
          <w:tcPr>
            <w:tcW w:w="9350" w:type="dxa"/>
          </w:tcPr>
          <w:p w14:paraId="555D416C" w14:textId="1F746422" w:rsidR="0047595E" w:rsidRPr="004F7E58" w:rsidRDefault="0047595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</w:t>
            </w:r>
            <w:r w:rsidR="00B82B80" w:rsidRPr="004F7E58">
              <w:rPr>
                <w:noProof/>
                <w:lang w:val="bs-Latn-BA"/>
              </w:rPr>
              <w:t>(202</w:t>
            </w:r>
            <w:r w:rsidR="007C416F" w:rsidRPr="004F7E58">
              <w:rPr>
                <w:noProof/>
                <w:lang w:val="bs-Latn-BA"/>
              </w:rPr>
              <w:t>4</w:t>
            </w:r>
            <w:r w:rsidR="00B82B80" w:rsidRPr="004F7E58">
              <w:rPr>
                <w:noProof/>
                <w:lang w:val="bs-Latn-BA"/>
              </w:rPr>
              <w:t xml:space="preserve">. godina), </w:t>
            </w:r>
            <w:r w:rsidRPr="004F7E58">
              <w:rPr>
                <w:noProof/>
                <w:lang w:val="bs-Latn-BA"/>
              </w:rPr>
              <w:t xml:space="preserve">u okviru mjere planirano je </w:t>
            </w:r>
            <w:r w:rsidR="00B82B80" w:rsidRPr="004F7E58">
              <w:rPr>
                <w:noProof/>
                <w:lang w:val="bs-Latn-BA"/>
              </w:rPr>
              <w:t xml:space="preserve">provođenje </w:t>
            </w:r>
            <w:r w:rsidR="008756A6" w:rsidRPr="004F7E58">
              <w:rPr>
                <w:noProof/>
                <w:lang w:val="bs-Latn-BA"/>
              </w:rPr>
              <w:t xml:space="preserve">četiri </w:t>
            </w:r>
            <w:r w:rsidRPr="004F7E58">
              <w:rPr>
                <w:noProof/>
                <w:lang w:val="bs-Latn-BA"/>
              </w:rPr>
              <w:t>aktivnosti</w:t>
            </w:r>
            <w:r w:rsidR="007C416F" w:rsidRPr="004F7E58">
              <w:rPr>
                <w:noProof/>
                <w:lang w:val="bs-Latn-BA"/>
              </w:rPr>
              <w:t xml:space="preserve">. Jedna aktivnost se provodi, </w:t>
            </w:r>
            <w:r w:rsidR="008756A6" w:rsidRPr="004F7E58">
              <w:rPr>
                <w:noProof/>
                <w:lang w:val="bs-Latn-BA"/>
              </w:rPr>
              <w:t xml:space="preserve">jedna nije započeta po planu, </w:t>
            </w:r>
            <w:r w:rsidR="007C416F" w:rsidRPr="004F7E58">
              <w:rPr>
                <w:noProof/>
                <w:lang w:val="bs-Latn-BA"/>
              </w:rPr>
              <w:t xml:space="preserve">dok su dvije obustavljene. </w:t>
            </w:r>
            <w:r w:rsidR="00B82B80" w:rsidRPr="004F7E58">
              <w:rPr>
                <w:noProof/>
                <w:lang w:val="bs-Latn-BA"/>
              </w:rPr>
              <w:t xml:space="preserve"> </w:t>
            </w:r>
          </w:p>
        </w:tc>
      </w:tr>
      <w:tr w:rsidR="0047595E" w:rsidRPr="004F7E58" w14:paraId="636A1E22" w14:textId="77777777" w:rsidTr="00DC7F97">
        <w:tc>
          <w:tcPr>
            <w:tcW w:w="9350" w:type="dxa"/>
          </w:tcPr>
          <w:p w14:paraId="24156255" w14:textId="29A9CEE1" w:rsidR="0047595E" w:rsidRPr="004F7E58" w:rsidRDefault="00B619B3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Jedan rezultat </w:t>
            </w:r>
            <w:r w:rsidR="00E408FE" w:rsidRPr="004F7E58">
              <w:rPr>
                <w:noProof/>
                <w:lang w:val="bs-Latn-BA"/>
              </w:rPr>
              <w:t xml:space="preserve">mjere </w:t>
            </w:r>
            <w:r w:rsidRPr="004F7E58">
              <w:rPr>
                <w:noProof/>
                <w:lang w:val="bs-Latn-BA"/>
              </w:rPr>
              <w:t>je potpuno ostvaren</w:t>
            </w:r>
            <w:r w:rsidR="00215786" w:rsidRPr="004F7E58">
              <w:rPr>
                <w:noProof/>
                <w:lang w:val="bs-Latn-BA"/>
              </w:rPr>
              <w:t xml:space="preserve"> </w:t>
            </w:r>
            <w:r w:rsidR="00E173B0" w:rsidRPr="004F7E58">
              <w:rPr>
                <w:noProof/>
                <w:lang w:val="bs-Latn-BA"/>
              </w:rPr>
              <w:t>2021</w:t>
            </w:r>
            <w:r w:rsidR="008756A6" w:rsidRPr="004F7E58">
              <w:rPr>
                <w:noProof/>
                <w:lang w:val="bs-Latn-BA"/>
              </w:rPr>
              <w:t>, jedan u 2023. godini</w:t>
            </w:r>
            <w:r w:rsidR="00CC7BB8" w:rsidRPr="004F7E58">
              <w:rPr>
                <w:noProof/>
                <w:lang w:val="bs-Latn-BA"/>
              </w:rPr>
              <w:t xml:space="preserve">. </w:t>
            </w:r>
            <w:r w:rsidR="00064473" w:rsidRPr="004F7E58">
              <w:rPr>
                <w:noProof/>
                <w:lang w:val="bs-Latn-BA"/>
              </w:rPr>
              <w:t>U 202</w:t>
            </w:r>
            <w:r w:rsidR="008756A6" w:rsidRPr="004F7E58">
              <w:rPr>
                <w:noProof/>
                <w:lang w:val="bs-Latn-BA"/>
              </w:rPr>
              <w:t>4</w:t>
            </w:r>
            <w:r w:rsidR="00064473" w:rsidRPr="004F7E58">
              <w:rPr>
                <w:noProof/>
                <w:lang w:val="bs-Latn-BA"/>
              </w:rPr>
              <w:t xml:space="preserve">. godini je ostvaren </w:t>
            </w:r>
            <w:r w:rsidR="00A218EE" w:rsidRPr="004F7E58">
              <w:rPr>
                <w:noProof/>
                <w:lang w:val="bs-Latn-BA"/>
              </w:rPr>
              <w:t xml:space="preserve">jedan </w:t>
            </w:r>
            <w:r w:rsidR="00064473" w:rsidRPr="004F7E58">
              <w:rPr>
                <w:noProof/>
                <w:lang w:val="bs-Latn-BA"/>
              </w:rPr>
              <w:t>rezultat mjere</w:t>
            </w:r>
            <w:r w:rsidR="008756A6" w:rsidRPr="004F7E58">
              <w:rPr>
                <w:noProof/>
                <w:lang w:val="bs-Latn-BA"/>
              </w:rPr>
              <w:t>,</w:t>
            </w:r>
            <w:r w:rsidR="00064473" w:rsidRPr="004F7E58">
              <w:rPr>
                <w:noProof/>
                <w:lang w:val="bs-Latn-BA"/>
              </w:rPr>
              <w:t xml:space="preserve"> </w:t>
            </w:r>
            <w:r w:rsidR="00A218EE" w:rsidRPr="004F7E58">
              <w:rPr>
                <w:noProof/>
                <w:lang w:val="bs-Latn-BA"/>
              </w:rPr>
              <w:t>dok r</w:t>
            </w:r>
            <w:r w:rsidR="004E741F" w:rsidRPr="004F7E58">
              <w:rPr>
                <w:noProof/>
                <w:lang w:val="bs-Latn-BA"/>
              </w:rPr>
              <w:t xml:space="preserve">ok za realizaciju </w:t>
            </w:r>
            <w:r w:rsidR="00C87094" w:rsidRPr="004F7E58">
              <w:rPr>
                <w:noProof/>
                <w:lang w:val="bs-Latn-BA"/>
              </w:rPr>
              <w:t>preostalih</w:t>
            </w:r>
            <w:r w:rsidR="004E741F" w:rsidRPr="004F7E58">
              <w:rPr>
                <w:noProof/>
                <w:lang w:val="bs-Latn-BA"/>
              </w:rPr>
              <w:t xml:space="preserve"> rezultata mjere nije istekao.</w:t>
            </w:r>
          </w:p>
        </w:tc>
      </w:tr>
    </w:tbl>
    <w:p w14:paraId="6800C109" w14:textId="1F701834" w:rsidR="0047595E" w:rsidRPr="004F7E58" w:rsidRDefault="0047595E" w:rsidP="00296FEA">
      <w:pPr>
        <w:rPr>
          <w:b/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6F4F98" w:rsidRPr="004F7E58" w14:paraId="454A1DEC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7825" w14:textId="77777777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213F" w14:textId="77777777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46C0" w14:textId="586EDECF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D5180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D5180" w:rsidRPr="004F7E58">
              <w:rPr>
                <w:b/>
                <w:noProof/>
                <w:lang w:val="bs-Latn-BA"/>
              </w:rPr>
              <w:t>4</w:t>
            </w:r>
            <w:r w:rsidR="00AE7FE8"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ED5180" w:rsidRPr="004F7E58" w14:paraId="4BE4DE9E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CF69" w14:textId="77777777" w:rsidR="00ED5180" w:rsidRPr="004F7E58" w:rsidRDefault="00ED5180" w:rsidP="00ED518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F77" w14:textId="19A928B0" w:rsidR="00ED5180" w:rsidRPr="004F7E58" w:rsidRDefault="00ED5180" w:rsidP="00ED518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II.4.1 Unaprijediti proces dostavljanja poreznih prijava u elektronskom obliku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F52DA5" w14:textId="6408E05F" w:rsidR="00ED5180" w:rsidRPr="004F7E58" w:rsidRDefault="004F7E58" w:rsidP="00ED518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2024. godini</w:t>
            </w:r>
          </w:p>
        </w:tc>
      </w:tr>
      <w:tr w:rsidR="00ED5180" w:rsidRPr="004F7E58" w14:paraId="09BF153E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3EC6" w14:textId="77777777" w:rsidR="00ED5180" w:rsidRPr="004F7E58" w:rsidRDefault="00ED5180" w:rsidP="00ED518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F093" w14:textId="005D60A8" w:rsidR="00ED5180" w:rsidRPr="004F7E58" w:rsidRDefault="00ED5180" w:rsidP="00ED518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en-US"/>
              </w:rPr>
            </w:pPr>
            <w:r w:rsidRPr="004F7E58">
              <w:rPr>
                <w:noProof/>
                <w:lang w:val="en-US"/>
              </w:rPr>
              <w:t>III.4.A Efikasno upravljanje poslovnim procesima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422E52F" w14:textId="57240761" w:rsidR="00ED5180" w:rsidRPr="004F7E58" w:rsidRDefault="00ED5180" w:rsidP="00ED518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postignut</w:t>
            </w:r>
          </w:p>
        </w:tc>
      </w:tr>
      <w:tr w:rsidR="00ED5180" w:rsidRPr="004F7E58" w14:paraId="3A36A759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29EA4D9" w14:textId="77777777" w:rsidR="00ED5180" w:rsidRPr="004F7E58" w:rsidRDefault="00ED5180" w:rsidP="00ED518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96F7942" w14:textId="607206B0" w:rsidR="00ED5180" w:rsidRPr="004F7E58" w:rsidRDefault="00ED5180" w:rsidP="00ED518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Donesene izmjene i dopune Pravilnika o primjeni zakona o porezu na dobit u 2021. godini, stupile su na snagu 2022. Prije roka su provedene intervencije u okviru IT sistema PU FBiH koje su omogućile elektronsku dostavu prijava poreza na dobit, što je bilo praćeno odgovarajućim instrukcijama za obveznike.</w:t>
            </w:r>
            <w:r w:rsidR="003B427C" w:rsidRPr="004F7E58">
              <w:rPr>
                <w:noProof/>
                <w:lang w:val="bs-Latn-BA"/>
              </w:rPr>
              <w:t xml:space="preserve"> Ova aktivnost je u potpusti provedena tokom 2024. godine i sistem nesmentano funkcionira. </w:t>
            </w:r>
          </w:p>
          <w:p w14:paraId="1B26CA96" w14:textId="428D3D68" w:rsidR="00ED5180" w:rsidRPr="004F7E58" w:rsidRDefault="00ED5180" w:rsidP="00ED5180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680A2C7C" w14:textId="665DEB57" w:rsidR="006F4F98" w:rsidRPr="004F7E58" w:rsidRDefault="006F4F98" w:rsidP="00296FEA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6F4F98" w:rsidRPr="004F7E58" w14:paraId="392F4F41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2D7A" w14:textId="77777777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8D8" w14:textId="77777777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2C4D" w14:textId="1844EC66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B427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B427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3B427C" w:rsidRPr="004F7E58" w14:paraId="08B44AF7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CD0" w14:textId="77777777" w:rsidR="003B427C" w:rsidRPr="004F7E58" w:rsidRDefault="003B427C" w:rsidP="003B427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ED5A" w14:textId="12910207" w:rsidR="003B427C" w:rsidRPr="004F7E58" w:rsidRDefault="003B427C" w:rsidP="003B427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II.4.2 Unaprijediti usluge poreznim obveznicima od strane Porezne uprave FBiH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5DDA" w14:textId="31DE947B" w:rsidR="003B427C" w:rsidRPr="004F7E58" w:rsidRDefault="003B427C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Aktivnost </w:t>
            </w:r>
            <w:r w:rsidR="00AB73F1" w:rsidRPr="004F7E58">
              <w:rPr>
                <w:noProof/>
                <w:lang w:val="bs-Latn-BA"/>
              </w:rPr>
              <w:t xml:space="preserve">zaustavljena  </w:t>
            </w:r>
          </w:p>
        </w:tc>
      </w:tr>
      <w:tr w:rsidR="003B427C" w:rsidRPr="004F7E58" w14:paraId="54CB24EA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63F" w14:textId="77777777" w:rsidR="003B427C" w:rsidRPr="004F7E58" w:rsidRDefault="003B427C" w:rsidP="003B427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16D" w14:textId="0AC2BC56" w:rsidR="003B427C" w:rsidRPr="004F7E58" w:rsidRDefault="003B427C" w:rsidP="003B427C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III.4.B Porezna uprava organizaciono i kadrovski osposobljena da bude u funkciji građana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F177" w14:textId="0A8F548A" w:rsidR="003B427C" w:rsidRPr="004F7E58" w:rsidRDefault="003B427C" w:rsidP="003B427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</w:t>
            </w:r>
            <w:r w:rsidR="007C416F" w:rsidRPr="004F7E58">
              <w:rPr>
                <w:noProof/>
                <w:lang w:val="bs-Latn-BA"/>
              </w:rPr>
              <w:t xml:space="preserve">Rezultat </w:t>
            </w:r>
            <w:r w:rsidR="00AB73F1" w:rsidRPr="004F7E58">
              <w:rPr>
                <w:noProof/>
                <w:lang w:val="bs-Latn-BA"/>
              </w:rPr>
              <w:t xml:space="preserve">mjere </w:t>
            </w:r>
            <w:r w:rsidR="007C416F" w:rsidRPr="004F7E58">
              <w:rPr>
                <w:noProof/>
                <w:lang w:val="bs-Latn-BA"/>
              </w:rPr>
              <w:t>se briše</w:t>
            </w:r>
          </w:p>
        </w:tc>
      </w:tr>
      <w:tr w:rsidR="003B427C" w:rsidRPr="004F7E58" w14:paraId="24CCA94D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1054182D" w14:textId="77777777" w:rsidR="003B427C" w:rsidRPr="004F7E58" w:rsidRDefault="003B427C" w:rsidP="003B427C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53030CC" w14:textId="0399C00E" w:rsidR="003B427C" w:rsidRPr="004F7E58" w:rsidRDefault="003B427C" w:rsidP="003B427C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saradnji sa tehničkom misijom MMF, izrađena je i dokumentovana analiza trenutne organizacije PU FB</w:t>
            </w:r>
            <w:r w:rsidR="008204C1" w:rsidRPr="004F7E58">
              <w:rPr>
                <w:noProof/>
                <w:lang w:val="bs-Latn-BA"/>
              </w:rPr>
              <w:t>i</w:t>
            </w:r>
            <w:r w:rsidRPr="004F7E58">
              <w:rPr>
                <w:noProof/>
                <w:lang w:val="bs-Latn-BA"/>
              </w:rPr>
              <w:t>H s aspekta prednosti i slabosti u procesima u 2022. godini. Dalji rad je bio planiran uz podršku USA</w:t>
            </w:r>
            <w:r w:rsidR="008756A6" w:rsidRPr="004F7E58">
              <w:rPr>
                <w:noProof/>
                <w:lang w:val="bs-Latn-BA"/>
              </w:rPr>
              <w:t>I</w:t>
            </w:r>
            <w:r w:rsidRPr="004F7E58">
              <w:rPr>
                <w:noProof/>
                <w:lang w:val="bs-Latn-BA"/>
              </w:rPr>
              <w:t>D projekta FRA. Krajem 2024. godine</w:t>
            </w:r>
            <w:r w:rsidR="008756A6" w:rsidRPr="004F7E58">
              <w:rPr>
                <w:noProof/>
                <w:lang w:val="bs-Latn-BA"/>
              </w:rPr>
              <w:t>,</w:t>
            </w:r>
            <w:r w:rsidRPr="004F7E58">
              <w:rPr>
                <w:noProof/>
                <w:lang w:val="bs-Latn-BA"/>
              </w:rPr>
              <w:t xml:space="preserve"> sva pomoć od USAID-a je obustavljen</w:t>
            </w:r>
            <w:r w:rsidR="007C416F" w:rsidRPr="004F7E58">
              <w:rPr>
                <w:noProof/>
                <w:lang w:val="bs-Latn-BA"/>
              </w:rPr>
              <w:t xml:space="preserve">a i ova aktivnost se ne može provesti bez tehničke podrške. </w:t>
            </w:r>
          </w:p>
        </w:tc>
      </w:tr>
    </w:tbl>
    <w:p w14:paraId="3C1A5840" w14:textId="270DBA82" w:rsidR="006F4F98" w:rsidRPr="004F7E58" w:rsidRDefault="006F4F98" w:rsidP="00296FEA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6F4F98" w:rsidRPr="004F7E58" w14:paraId="4D39D406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9BE8" w14:textId="77777777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8EE" w14:textId="77777777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2E67" w14:textId="074C9213" w:rsidR="006F4F98" w:rsidRPr="004F7E58" w:rsidRDefault="006F4F9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B427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B427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C416F" w:rsidRPr="004F7E58" w14:paraId="4B1BD5BF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345" w14:textId="77777777" w:rsidR="007C416F" w:rsidRPr="004F7E58" w:rsidRDefault="007C416F" w:rsidP="007C416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06C7" w14:textId="64B95316" w:rsidR="007C416F" w:rsidRPr="004F7E58" w:rsidRDefault="007C416F" w:rsidP="007C416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II.4.3 Pojednostaviti plaćanje javnih prihoda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2E5" w14:textId="7569D813" w:rsidR="007C416F" w:rsidRPr="004F7E58" w:rsidRDefault="007C416F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Aktivnost </w:t>
            </w:r>
            <w:r w:rsidR="00AB73F1" w:rsidRPr="004F7E58">
              <w:rPr>
                <w:noProof/>
                <w:lang w:val="bs-Latn-BA"/>
              </w:rPr>
              <w:t xml:space="preserve">zaustavljena  </w:t>
            </w:r>
          </w:p>
        </w:tc>
      </w:tr>
      <w:tr w:rsidR="007C416F" w:rsidRPr="004F7E58" w14:paraId="4814E2F4" w14:textId="77777777" w:rsidTr="007C416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CFF7" w14:textId="77777777" w:rsidR="007C416F" w:rsidRPr="004F7E58" w:rsidRDefault="007C416F" w:rsidP="007C416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677" w14:textId="43070431" w:rsidR="007C416F" w:rsidRPr="004F7E58" w:rsidRDefault="007C416F" w:rsidP="007C416F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III.4.C Smanjen broj uplatnica za uplatu javnih prihoda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0B65" w14:textId="21CB3EE2" w:rsidR="007C416F" w:rsidRPr="004F7E58" w:rsidRDefault="007C416F" w:rsidP="007C416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Rezultat se briše</w:t>
            </w:r>
          </w:p>
        </w:tc>
      </w:tr>
      <w:tr w:rsidR="006D3D38" w:rsidRPr="004F7E58" w14:paraId="1A69A2C0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64538C7F" w14:textId="77777777" w:rsidR="006D3D38" w:rsidRPr="004F7E58" w:rsidRDefault="006D3D38" w:rsidP="006D3D38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7441C684" w14:textId="31667AD3" w:rsidR="006D3D38" w:rsidRPr="004F7E58" w:rsidRDefault="00194DA9" w:rsidP="003B427C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Tokom 2023. godine su provedene konsultacije o jednostavnijem načinu plaćanja javnih prihoda sa zaineteresiranim stranama.  </w:t>
            </w:r>
            <w:r w:rsidR="003B427C" w:rsidRPr="004F7E58">
              <w:rPr>
                <w:noProof/>
                <w:lang w:val="bs-Latn-BA"/>
              </w:rPr>
              <w:t>Nakon konsultacija, tokom 2024. godine, dva kantona se nis</w:t>
            </w:r>
            <w:r w:rsidR="001A59F4" w:rsidRPr="004F7E58">
              <w:rPr>
                <w:noProof/>
                <w:lang w:val="bs-Latn-BA"/>
              </w:rPr>
              <w:t>u</w:t>
            </w:r>
            <w:r w:rsidR="003B427C" w:rsidRPr="004F7E58">
              <w:rPr>
                <w:noProof/>
                <w:lang w:val="bs-Latn-BA"/>
              </w:rPr>
              <w:t xml:space="preserve"> saglasila sa predloženim rješenjem i aktivnost je obustavljen. </w:t>
            </w:r>
          </w:p>
        </w:tc>
      </w:tr>
    </w:tbl>
    <w:p w14:paraId="54B8DF46" w14:textId="535A564C" w:rsidR="006F4F98" w:rsidRPr="004F7E58" w:rsidRDefault="006F4F98" w:rsidP="00296FEA">
      <w:pPr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296FEA" w:rsidRPr="004F7E58" w14:paraId="5DF8F809" w14:textId="77777777" w:rsidTr="001B2BA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9659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9931" w14:textId="0F4405AE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3DD" w14:textId="39B37F9C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344736" w:rsidRPr="004F7E58" w14:paraId="0E22EF80" w14:textId="77777777" w:rsidTr="00B546D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49C3" w14:textId="77777777" w:rsidR="00344736" w:rsidRPr="004F7E58" w:rsidRDefault="00344736" w:rsidP="0034473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852C" w14:textId="1DBC8E50" w:rsidR="00344736" w:rsidRPr="004F7E58" w:rsidRDefault="00344736" w:rsidP="0034473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II.4.4 Uvođenje elektronskog vođenja interaktivnog registra taksi i naknada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C43BFD4" w14:textId="6833FDDF" w:rsidR="00344736" w:rsidRPr="004F7E58" w:rsidRDefault="00344736" w:rsidP="0034473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u 2021. </w:t>
            </w:r>
          </w:p>
        </w:tc>
      </w:tr>
      <w:tr w:rsidR="00296FEA" w:rsidRPr="004F7E58" w14:paraId="1999D217" w14:textId="77777777" w:rsidTr="0034473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BFEA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599C" w14:textId="275DFC18" w:rsidR="00296FEA" w:rsidRPr="004F7E58" w:rsidRDefault="000F4D2E" w:rsidP="00B9686F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III.4.D Jednoobrazan i transparentan pregled svih naknada i taksi  u FBiH, elektronskim putem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C79B34" w14:textId="5272149F" w:rsidR="00296FEA" w:rsidRPr="004F7E58" w:rsidRDefault="00295560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potpuno postignut</w:t>
            </w:r>
          </w:p>
        </w:tc>
      </w:tr>
      <w:tr w:rsidR="00296FEA" w:rsidRPr="004F7E58" w14:paraId="489E9449" w14:textId="77777777" w:rsidTr="001B2BAB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D1D78AC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4DACAB0" w14:textId="535D0944" w:rsidR="00296FEA" w:rsidRPr="004F7E58" w:rsidRDefault="000F4D2E" w:rsidP="007A2B2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Elektronski registar za vođenje taksi i naknada je u funkciji od kraja 2021. godine i javno je dostupan. Svaki nivo vlasti u FBIH je odgovar</w:t>
            </w:r>
            <w:r w:rsidR="004A381E" w:rsidRPr="004F7E58">
              <w:rPr>
                <w:lang w:val="bs-Latn-BA"/>
              </w:rPr>
              <w:t>a</w:t>
            </w:r>
            <w:r w:rsidRPr="004F7E58">
              <w:rPr>
                <w:lang w:val="bs-Latn-BA"/>
              </w:rPr>
              <w:t xml:space="preserve">n za ažuriranje svojih taksi i naknada u registru. Aktivnost je završena ranije od planiranog jer je doneseno rješenje da se primjeni jednostavnije i brže rješenje za rad registra. </w:t>
            </w:r>
            <w:r w:rsidR="00296FEA" w:rsidRPr="004F7E58">
              <w:rPr>
                <w:noProof/>
                <w:lang w:val="bs-Latn-BA"/>
              </w:rPr>
              <w:t xml:space="preserve"> </w:t>
            </w:r>
          </w:p>
        </w:tc>
      </w:tr>
    </w:tbl>
    <w:p w14:paraId="06AB7FE7" w14:textId="77777777" w:rsidR="00296FEA" w:rsidRPr="004F7E58" w:rsidRDefault="00296FEA" w:rsidP="00296FEA">
      <w:pPr>
        <w:rPr>
          <w:lang w:val="bs-Latn-BA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33"/>
        <w:gridCol w:w="2732"/>
      </w:tblGrid>
      <w:tr w:rsidR="00296FEA" w:rsidRPr="004F7E58" w14:paraId="32E82D98" w14:textId="77777777" w:rsidTr="000C34A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6A0D" w14:textId="77777777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6A36" w14:textId="2C21056D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6C44" w14:textId="5893EC32" w:rsidR="00296FEA" w:rsidRPr="004F7E58" w:rsidRDefault="00296FEA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CE5EF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CE5EF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5B2D04" w:rsidRPr="004F7E58" w14:paraId="23FFAD4E" w14:textId="77777777" w:rsidTr="005B2D0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DF3D" w14:textId="77777777" w:rsidR="005B2D04" w:rsidRPr="004F7E58" w:rsidRDefault="005B2D04" w:rsidP="005B2D0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16C" w14:textId="6BA18906" w:rsidR="005B2D04" w:rsidRPr="004F7E58" w:rsidRDefault="005B2D04" w:rsidP="005B2D0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II.4.5 Uvođenje elektronskog upravljanja porezno-upravnim predmetima u FMF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FE0CC" w14:textId="4E15FBA8" w:rsidR="005B2D04" w:rsidRPr="004F7E58" w:rsidRDefault="005B2D04" w:rsidP="005B2D0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CE5EF2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78036B" w:rsidRPr="004F7E58" w14:paraId="18207F2B" w14:textId="77777777" w:rsidTr="000C34A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4FD8" w14:textId="77777777" w:rsidR="0078036B" w:rsidRPr="004F7E58" w:rsidRDefault="0078036B" w:rsidP="0078036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E863" w14:textId="42134518" w:rsidR="0078036B" w:rsidRPr="004F7E58" w:rsidRDefault="0078036B" w:rsidP="00990D7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III.4.E Ekspeditivno i efikasno upravljanje porezno upravnim predmetima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EC6B" w14:textId="35B5316A" w:rsidR="0078036B" w:rsidRPr="004F7E58" w:rsidRDefault="0078036B" w:rsidP="0078036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296FEA" w:rsidRPr="004F7E58" w14:paraId="2DA763C2" w14:textId="77777777" w:rsidTr="000C34AF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1BB543D" w14:textId="77777777" w:rsidR="00296FEA" w:rsidRPr="004F7E58" w:rsidRDefault="00296FEA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E0EED03" w14:textId="0892BF0E" w:rsidR="00296FEA" w:rsidRPr="004F7E58" w:rsidRDefault="00296FEA" w:rsidP="00640DBB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09AAD0E3" w14:textId="77777777" w:rsidR="00296FEA" w:rsidRPr="004F7E58" w:rsidRDefault="00296FEA" w:rsidP="00296FEA">
      <w:pPr>
        <w:rPr>
          <w:noProof/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169"/>
        <w:gridCol w:w="2791"/>
      </w:tblGrid>
      <w:tr w:rsidR="0060766C" w:rsidRPr="004F7E58" w14:paraId="5D13B895" w14:textId="77777777" w:rsidTr="000C34AF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B0A2" w14:textId="77777777" w:rsidR="0060766C" w:rsidRPr="004F7E58" w:rsidRDefault="0060766C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27FE" w14:textId="77777777" w:rsidR="0060766C" w:rsidRPr="004F7E58" w:rsidRDefault="0060766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1FE8" w14:textId="069EB687" w:rsidR="0060766C" w:rsidRPr="004F7E58" w:rsidRDefault="0060766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CE5EF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CE5EF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720FA" w:rsidRPr="004F7E58" w14:paraId="6B6ADA62" w14:textId="77777777" w:rsidTr="001A59F4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19E6" w14:textId="77777777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78C1" w14:textId="494CE30A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II.4.6 Uvođenje elektronskog upravljanja predmetima u djelatnosti igara na sreću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E042AE" w14:textId="0D03285F" w:rsidR="002720FA" w:rsidRPr="004F7E58" w:rsidRDefault="00375E37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toku, </w:t>
            </w:r>
            <w:r w:rsidR="002720FA" w:rsidRPr="004F7E58">
              <w:rPr>
                <w:noProof/>
                <w:lang w:val="bs-Latn-BA"/>
              </w:rPr>
              <w:t>(nije</w:t>
            </w:r>
            <w:r w:rsidRPr="004F7E58">
              <w:rPr>
                <w:noProof/>
                <w:lang w:val="bs-Latn-BA"/>
              </w:rPr>
              <w:t xml:space="preserve"> </w:t>
            </w:r>
            <w:r w:rsidR="005E625E" w:rsidRPr="004F7E58">
              <w:rPr>
                <w:noProof/>
                <w:lang w:val="bs-Latn-BA"/>
              </w:rPr>
              <w:t xml:space="preserve"> </w:t>
            </w:r>
            <w:r w:rsidR="002720FA" w:rsidRPr="004F7E58">
              <w:rPr>
                <w:noProof/>
                <w:lang w:val="bs-Latn-BA"/>
              </w:rPr>
              <w:t>predviđeno u 202</w:t>
            </w:r>
            <w:r w:rsidR="00CE5EF2" w:rsidRPr="004F7E58">
              <w:rPr>
                <w:noProof/>
                <w:lang w:val="bs-Latn-BA"/>
              </w:rPr>
              <w:t>4</w:t>
            </w:r>
            <w:r w:rsidR="002720FA" w:rsidRPr="004F7E58">
              <w:rPr>
                <w:noProof/>
                <w:lang w:val="bs-Latn-BA"/>
              </w:rPr>
              <w:t>.)</w:t>
            </w:r>
          </w:p>
        </w:tc>
      </w:tr>
      <w:tr w:rsidR="002720FA" w:rsidRPr="004F7E58" w14:paraId="03CC47CB" w14:textId="77777777" w:rsidTr="002720FA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E53F" w14:textId="77777777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A7A2" w14:textId="39040A74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III.4.F Efikasno upravljanje predmetima u djelatnosti igara na sreću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ED488" w14:textId="19FA6893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60766C" w:rsidRPr="004F7E58" w14:paraId="4A863232" w14:textId="77777777" w:rsidTr="000C34AF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4EEAD6D1" w14:textId="77777777" w:rsidR="0060766C" w:rsidRPr="004F7E58" w:rsidRDefault="0060766C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077C66F3" w14:textId="1FE4D0E5" w:rsidR="0060766C" w:rsidRPr="004F7E58" w:rsidRDefault="00375E37" w:rsidP="007E3EA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Tokom 2024. godine z</w:t>
            </w:r>
            <w:r w:rsidR="00D200D1" w:rsidRPr="004F7E58">
              <w:rPr>
                <w:lang w:val="bs-Latn-BA"/>
              </w:rPr>
              <w:t>a</w:t>
            </w:r>
            <w:r w:rsidRPr="004F7E58">
              <w:rPr>
                <w:lang w:val="bs-Latn-BA"/>
              </w:rPr>
              <w:t xml:space="preserve">počet je rad na izradi idejnog projekta za softversko rješenje. </w:t>
            </w:r>
          </w:p>
        </w:tc>
      </w:tr>
    </w:tbl>
    <w:p w14:paraId="48A55500" w14:textId="194091AA" w:rsidR="00C643CD" w:rsidRPr="004F7E58" w:rsidRDefault="00C643CD" w:rsidP="00C643CD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2"/>
        <w:gridCol w:w="2763"/>
      </w:tblGrid>
      <w:tr w:rsidR="0060766C" w:rsidRPr="004F7E58" w14:paraId="56B7AB60" w14:textId="77777777" w:rsidTr="00485FE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CFCF" w14:textId="77777777" w:rsidR="0060766C" w:rsidRPr="004F7E58" w:rsidRDefault="0060766C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800" w14:textId="77777777" w:rsidR="0060766C" w:rsidRPr="004F7E58" w:rsidRDefault="0060766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CA2" w14:textId="5B4161AF" w:rsidR="0060766C" w:rsidRPr="004F7E58" w:rsidRDefault="0060766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75E3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75E3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76984" w:rsidRPr="004F7E58" w14:paraId="6957A6BA" w14:textId="77777777" w:rsidTr="001A59F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6AB3" w14:textId="77777777" w:rsidR="00276984" w:rsidRPr="004F7E58" w:rsidRDefault="00276984" w:rsidP="0027698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34A" w14:textId="13C7B20C" w:rsidR="00276984" w:rsidRPr="004F7E58" w:rsidRDefault="00276984" w:rsidP="0027698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II.4.7 Unaprijediti proces naplate javnih prihoda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464B0" w14:textId="7F70FBB7" w:rsidR="00276984" w:rsidRPr="004F7E58" w:rsidRDefault="00375E37" w:rsidP="0027698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2024.)</w:t>
            </w:r>
          </w:p>
        </w:tc>
      </w:tr>
      <w:tr w:rsidR="002720FA" w:rsidRPr="004F7E58" w14:paraId="3E72450A" w14:textId="77777777" w:rsidTr="002720F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1E6" w14:textId="77777777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86B6" w14:textId="0CB85155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III.4.G Povećani javni prihodi koje kontroliše PU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FCC02" w14:textId="3C490943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60766C" w:rsidRPr="004F7E58" w14:paraId="21C0C155" w14:textId="77777777" w:rsidTr="005A3476">
        <w:trPr>
          <w:cantSplit/>
          <w:trHeight w:val="257"/>
        </w:trPr>
        <w:tc>
          <w:tcPr>
            <w:tcW w:w="510" w:type="dxa"/>
            <w:tcBorders>
              <w:top w:val="single" w:sz="4" w:space="0" w:color="auto"/>
            </w:tcBorders>
          </w:tcPr>
          <w:p w14:paraId="40CF6215" w14:textId="77777777" w:rsidR="0060766C" w:rsidRPr="004F7E58" w:rsidRDefault="0060766C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8C3271F" w14:textId="764D6C6F" w:rsidR="0060766C" w:rsidRPr="004F7E58" w:rsidRDefault="0060766C" w:rsidP="007E3EA0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5D20F701" w14:textId="4AB4333B" w:rsidR="0060766C" w:rsidRPr="004F7E58" w:rsidRDefault="0060766C" w:rsidP="00C643CD">
      <w:pPr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30"/>
        <w:gridCol w:w="2735"/>
      </w:tblGrid>
      <w:tr w:rsidR="0047761B" w:rsidRPr="004F7E58" w14:paraId="2D21AA9D" w14:textId="77777777" w:rsidTr="0072249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744" w14:textId="77777777" w:rsidR="0047761B" w:rsidRPr="004F7E58" w:rsidRDefault="0047761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B594" w14:textId="77777777" w:rsidR="0047761B" w:rsidRPr="004F7E58" w:rsidRDefault="0047761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B7D" w14:textId="32083F64" w:rsidR="0047761B" w:rsidRPr="004F7E58" w:rsidRDefault="0047761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75E3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75E3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720FA" w:rsidRPr="004F7E58" w14:paraId="61E7D3E4" w14:textId="77777777" w:rsidTr="001A59F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AC7" w14:textId="77777777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B03" w14:textId="282E9B0A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II.4.8 Smanjiti postojeći porezni dug</w:t>
            </w:r>
            <w:r w:rsidR="00D75E58" w:rsidRPr="004F7E58">
              <w:rPr>
                <w:noProof/>
                <w:lang w:val="bs-Latn-BA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ECDA2B4" w14:textId="7D044920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</w:t>
            </w:r>
          </w:p>
        </w:tc>
      </w:tr>
      <w:tr w:rsidR="002720FA" w:rsidRPr="004F7E58" w14:paraId="7189E38B" w14:textId="77777777" w:rsidTr="00DF310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BF73" w14:textId="77777777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EA6" w14:textId="1F2D0CBF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III.4.H Smanjen porezni dug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2C845" w14:textId="7D90046A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47761B" w:rsidRPr="004F7E58" w14:paraId="3AE034ED" w14:textId="77777777" w:rsidTr="0072249A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1EB3B97" w14:textId="77777777" w:rsidR="0047761B" w:rsidRPr="004F7E58" w:rsidRDefault="0047761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859DF81" w14:textId="20AFD027" w:rsidR="0047761B" w:rsidRPr="004F7E58" w:rsidRDefault="00D200D1" w:rsidP="007E3EA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Tokom 2024. godine </w:t>
            </w:r>
            <w:r w:rsidR="008F3417" w:rsidRPr="004F7E58">
              <w:rPr>
                <w:lang w:val="bs-Latn-BA"/>
              </w:rPr>
              <w:t>nisu započete aktivnosti.</w:t>
            </w:r>
          </w:p>
        </w:tc>
      </w:tr>
    </w:tbl>
    <w:p w14:paraId="7E1E2EE7" w14:textId="465B3280" w:rsidR="0047761B" w:rsidRPr="004F7E58" w:rsidRDefault="0047761B" w:rsidP="00C643CD">
      <w:pPr>
        <w:rPr>
          <w:lang w:val="bs-Latn-BA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229"/>
        <w:gridCol w:w="2731"/>
      </w:tblGrid>
      <w:tr w:rsidR="0047761B" w:rsidRPr="004F7E58" w14:paraId="031A698B" w14:textId="77777777" w:rsidTr="00DF3108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4CD6" w14:textId="77777777" w:rsidR="0047761B" w:rsidRPr="004F7E58" w:rsidRDefault="0047761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B84" w14:textId="77777777" w:rsidR="0047761B" w:rsidRPr="004F7E58" w:rsidRDefault="0047761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65A0" w14:textId="20B9A2AE" w:rsidR="0047761B" w:rsidRPr="004F7E58" w:rsidRDefault="0047761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720FA" w:rsidRPr="004F7E58" w14:paraId="2058CC99" w14:textId="77777777" w:rsidTr="001A59F4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B8BD" w14:textId="77777777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E9D4" w14:textId="6B9AB8CC" w:rsidR="002720FA" w:rsidRPr="004F7E58" w:rsidRDefault="002720FA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II.4.9 Unaprijediti proces registracije poreznih obveznika u PU FBiH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20D3938" w14:textId="3EC432FC" w:rsidR="002720FA" w:rsidRPr="004F7E58" w:rsidRDefault="00276984" w:rsidP="002720F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1A59F4" w:rsidRPr="004F7E58">
              <w:rPr>
                <w:noProof/>
                <w:lang w:val="bs-Latn-BA"/>
              </w:rPr>
              <w:t>u 2023</w:t>
            </w:r>
            <w:r w:rsidR="008756A6" w:rsidRPr="004F7E58">
              <w:rPr>
                <w:noProof/>
                <w:lang w:val="bs-Latn-BA"/>
              </w:rPr>
              <w:t>.</w:t>
            </w:r>
          </w:p>
        </w:tc>
      </w:tr>
      <w:tr w:rsidR="00276984" w:rsidRPr="004F7E58" w14:paraId="62997E09" w14:textId="77777777" w:rsidTr="001A59F4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C65A" w14:textId="77777777" w:rsidR="00276984" w:rsidRPr="004F7E58" w:rsidRDefault="00276984" w:rsidP="0027698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A15" w14:textId="6F703461" w:rsidR="00276984" w:rsidRPr="004F7E58" w:rsidRDefault="00276984" w:rsidP="00276984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III.4.I Unaprijeđen proces registracije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71E5B17" w14:textId="52C0C538" w:rsidR="00276984" w:rsidRPr="004F7E58" w:rsidRDefault="00276984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postignut</w:t>
            </w:r>
          </w:p>
        </w:tc>
      </w:tr>
      <w:tr w:rsidR="0047761B" w:rsidRPr="004F7E58" w14:paraId="123EC1DE" w14:textId="77777777" w:rsidTr="00DF3108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358502B3" w14:textId="77777777" w:rsidR="0047761B" w:rsidRPr="004F7E58" w:rsidRDefault="0047761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4AC5684A" w14:textId="0C562B2B" w:rsidR="0047761B" w:rsidRPr="004F7E58" w:rsidRDefault="00276984" w:rsidP="007E3EA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Tokom 2023. godine implementirana je aktivnost kroz niz podaktivnost uključujći analizu procesa registracije i provođenje preporuka radi pojednostavljena procesa registracije za korisnike i za PU FBIH. </w:t>
            </w:r>
          </w:p>
        </w:tc>
      </w:tr>
    </w:tbl>
    <w:p w14:paraId="33AD4080" w14:textId="77777777" w:rsidR="0047761B" w:rsidRPr="004F7E58" w:rsidRDefault="0047761B" w:rsidP="00C643CD">
      <w:pPr>
        <w:rPr>
          <w:lang w:val="bs-Latn-BA"/>
        </w:rPr>
      </w:pPr>
    </w:p>
    <w:p w14:paraId="75C54207" w14:textId="77777777" w:rsidR="00D828C0" w:rsidRPr="004F7E58" w:rsidRDefault="00D828C0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  <w:lang w:val="bs-Latn-BA"/>
        </w:rPr>
      </w:pPr>
      <w:r w:rsidRPr="004F7E58">
        <w:rPr>
          <w:noProof/>
          <w:lang w:val="bs-Latn-BA"/>
        </w:rPr>
        <w:br w:type="page"/>
      </w:r>
    </w:p>
    <w:p w14:paraId="26A06758" w14:textId="4EE4D373" w:rsidR="00C643CD" w:rsidRPr="004F7E58" w:rsidRDefault="00C643CD" w:rsidP="002371EF">
      <w:pPr>
        <w:pStyle w:val="ListParagraph"/>
        <w:keepNext/>
        <w:keepLines/>
        <w:numPr>
          <w:ilvl w:val="1"/>
          <w:numId w:val="31"/>
        </w:numPr>
        <w:spacing w:before="40" w:after="0"/>
        <w:outlineLvl w:val="1"/>
        <w:rPr>
          <w:rFonts w:asciiTheme="majorHAnsi" w:eastAsiaTheme="majorEastAsia" w:hAnsiTheme="majorHAnsi" w:cstheme="majorBidi"/>
          <w:b/>
          <w:noProof/>
          <w:color w:val="C00000"/>
          <w:sz w:val="32"/>
          <w:szCs w:val="26"/>
          <w:lang w:val="bs-Latn-BA"/>
        </w:rPr>
      </w:pPr>
      <w:bookmarkStart w:id="21" w:name="_Toc214450227"/>
      <w:r w:rsidRPr="004F7E58">
        <w:rPr>
          <w:rFonts w:asciiTheme="majorHAnsi" w:eastAsiaTheme="majorEastAsia" w:hAnsiTheme="majorHAnsi" w:cstheme="majorBidi"/>
          <w:b/>
          <w:noProof/>
          <w:color w:val="C00000"/>
          <w:sz w:val="32"/>
          <w:szCs w:val="26"/>
          <w:lang w:val="bs-Latn-BA"/>
        </w:rPr>
        <w:lastRenderedPageBreak/>
        <w:t>Stub III</w:t>
      </w:r>
      <w:r w:rsidR="00A47809" w:rsidRPr="004F7E58">
        <w:rPr>
          <w:rFonts w:asciiTheme="majorHAnsi" w:eastAsiaTheme="majorEastAsia" w:hAnsiTheme="majorHAnsi" w:cstheme="majorBidi"/>
          <w:b/>
          <w:noProof/>
          <w:color w:val="C00000"/>
          <w:sz w:val="32"/>
          <w:szCs w:val="26"/>
          <w:lang w:val="bs-Latn-BA"/>
        </w:rPr>
        <w:t xml:space="preserve">: </w:t>
      </w:r>
      <w:r w:rsidR="00641C67" w:rsidRPr="004F7E58">
        <w:rPr>
          <w:rFonts w:asciiTheme="majorHAnsi" w:eastAsiaTheme="majorEastAsia" w:hAnsiTheme="majorHAnsi" w:cstheme="majorBidi"/>
          <w:b/>
          <w:noProof/>
          <w:color w:val="C00000"/>
          <w:sz w:val="32"/>
          <w:szCs w:val="26"/>
          <w:lang w:val="bs-Latn-BA"/>
        </w:rPr>
        <w:t>PLANIRANJE I BUDŽETIRANJE</w:t>
      </w:r>
      <w:bookmarkEnd w:id="21"/>
    </w:p>
    <w:p w14:paraId="15407671" w14:textId="77777777" w:rsidR="00185F2D" w:rsidRPr="004F7E58" w:rsidRDefault="00185F2D" w:rsidP="00185F2D">
      <w:pPr>
        <w:rPr>
          <w:lang w:val="bs-Latn-BA"/>
        </w:rPr>
      </w:pPr>
    </w:p>
    <w:p w14:paraId="650C919C" w14:textId="77777777" w:rsidR="00185F2D" w:rsidRPr="004F7E58" w:rsidRDefault="00185F2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22" w:name="_Toc214450228"/>
      <w:r w:rsidRPr="004F7E58">
        <w:rPr>
          <w:b/>
          <w:color w:val="C00000"/>
          <w:lang w:val="bs-Latn-BA"/>
        </w:rPr>
        <w:t>Cilj stuba</w:t>
      </w:r>
      <w:bookmarkEnd w:id="22"/>
    </w:p>
    <w:p w14:paraId="2E3AEF3B" w14:textId="77777777" w:rsidR="00185F2D" w:rsidRPr="004F7E58" w:rsidRDefault="00185F2D" w:rsidP="00185F2D">
      <w:pPr>
        <w:rPr>
          <w:lang w:val="bs-Latn-BA"/>
        </w:rPr>
      </w:pPr>
    </w:p>
    <w:p w14:paraId="1CE7AC25" w14:textId="2D177812" w:rsidR="00A47809" w:rsidRPr="004F7E58" w:rsidRDefault="00E06726" w:rsidP="00A47809">
      <w:pPr>
        <w:pStyle w:val="NormalPFM1"/>
        <w:rPr>
          <w:noProof/>
          <w:lang w:val="bs-Latn-BA"/>
        </w:rPr>
      </w:pPr>
      <w:r w:rsidRPr="004F7E58">
        <w:rPr>
          <w:lang w:val="bs-Latn-BA"/>
        </w:rPr>
        <w:t>Sveobuhvatna i vjerodostojna priprema budžeta zasnovana na strateškim prioritetima i pokazateljima učinka u trošenju javnih sredstava</w:t>
      </w:r>
    </w:p>
    <w:p w14:paraId="7EC3D61D" w14:textId="79ADAD10" w:rsidR="00A47809" w:rsidRPr="004F7E58" w:rsidRDefault="00355E6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23" w:name="_Toc214450229"/>
      <w:r w:rsidRPr="004F7E58">
        <w:rPr>
          <w:b/>
          <w:color w:val="C00000"/>
          <w:lang w:val="bs-Latn-BA"/>
        </w:rPr>
        <w:t>Ostvarenje</w:t>
      </w:r>
      <w:r w:rsidR="00A47809" w:rsidRPr="004F7E58">
        <w:rPr>
          <w:b/>
          <w:color w:val="C00000"/>
          <w:lang w:val="bs-Latn-BA"/>
        </w:rPr>
        <w:t xml:space="preserve"> rezultata stupa u </w:t>
      </w:r>
      <w:r w:rsidR="005A26A9" w:rsidRPr="004F7E58">
        <w:rPr>
          <w:b/>
          <w:color w:val="C00000"/>
          <w:lang w:val="bs-Latn-BA"/>
        </w:rPr>
        <w:t>202</w:t>
      </w:r>
      <w:r w:rsidR="001A59F4" w:rsidRPr="004F7E58">
        <w:rPr>
          <w:b/>
          <w:color w:val="C00000"/>
          <w:lang w:val="bs-Latn-BA"/>
        </w:rPr>
        <w:t>4</w:t>
      </w:r>
      <w:r w:rsidR="00A47809" w:rsidRPr="004F7E58">
        <w:rPr>
          <w:b/>
          <w:color w:val="C00000"/>
          <w:lang w:val="bs-Latn-BA"/>
        </w:rPr>
        <w:t>. godini</w:t>
      </w:r>
      <w:bookmarkEnd w:id="23"/>
    </w:p>
    <w:p w14:paraId="39FA0C19" w14:textId="77777777" w:rsidR="00A47809" w:rsidRPr="004F7E58" w:rsidRDefault="00A47809" w:rsidP="00A47809">
      <w:pPr>
        <w:rPr>
          <w:lang w:val="bs-Latn-BA"/>
        </w:rPr>
      </w:pPr>
    </w:p>
    <w:p w14:paraId="48AEF4C5" w14:textId="1C9FB16A" w:rsidR="00A47809" w:rsidRPr="004F7E58" w:rsidRDefault="00364912" w:rsidP="00A47809">
      <w:pPr>
        <w:rPr>
          <w:lang w:val="bs-Latn-BA"/>
        </w:rPr>
      </w:pPr>
      <w:r w:rsidRPr="004F7E58">
        <w:rPr>
          <w:lang w:val="bs-Latn-BA"/>
        </w:rPr>
        <w:t xml:space="preserve">Cilj stuba je vezan za uvođenje programskog budžetiranja u FBiH, i niz mjera i aktivnosti se izražava kroz konačni cilj  - da se budžet Federacije počne pripremati, usvajati i objavljivati u programskom formatu. </w:t>
      </w:r>
    </w:p>
    <w:p w14:paraId="7AF113A9" w14:textId="77777777" w:rsidR="00A47809" w:rsidRPr="004F7E58" w:rsidRDefault="00A47809" w:rsidP="00A47809">
      <w:pPr>
        <w:rPr>
          <w:noProof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535"/>
      </w:tblGrid>
      <w:tr w:rsidR="00A47809" w:rsidRPr="004F7E58" w14:paraId="6513E791" w14:textId="77777777" w:rsidTr="00461EB2">
        <w:trPr>
          <w:trHeight w:val="538"/>
        </w:trPr>
        <w:tc>
          <w:tcPr>
            <w:tcW w:w="5575" w:type="dxa"/>
            <w:vMerge w:val="restart"/>
            <w:vAlign w:val="center"/>
          </w:tcPr>
          <w:p w14:paraId="0D8C4265" w14:textId="718F28A8" w:rsidR="00A47809" w:rsidRPr="004F7E58" w:rsidRDefault="00461EB2" w:rsidP="00D97174">
            <w:pPr>
              <w:jc w:val="center"/>
              <w:rPr>
                <w:noProof/>
              </w:rPr>
            </w:pPr>
            <w:r w:rsidRPr="004F7E58">
              <w:rPr>
                <w:noProof/>
              </w:rPr>
              <w:drawing>
                <wp:inline distT="0" distB="0" distL="0" distR="0" wp14:anchorId="17D25EB6" wp14:editId="7C883758">
                  <wp:extent cx="2472681" cy="2738552"/>
                  <wp:effectExtent l="0" t="0" r="4445" b="5080"/>
                  <wp:docPr id="11" name="Chart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58DBC3E1" w14:textId="77777777" w:rsidR="00A47809" w:rsidRPr="004F7E58" w:rsidRDefault="00A47809" w:rsidP="00D97174">
            <w:pPr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Legenda</w:t>
            </w:r>
          </w:p>
        </w:tc>
        <w:tc>
          <w:tcPr>
            <w:tcW w:w="535" w:type="dxa"/>
            <w:vAlign w:val="center"/>
          </w:tcPr>
          <w:p w14:paraId="01F66882" w14:textId="77777777" w:rsidR="00A47809" w:rsidRPr="004F7E58" w:rsidRDefault="00A47809" w:rsidP="00D97174">
            <w:pPr>
              <w:jc w:val="center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#</w:t>
            </w:r>
          </w:p>
        </w:tc>
      </w:tr>
      <w:tr w:rsidR="00A47809" w:rsidRPr="004F7E58" w14:paraId="41EA2F8D" w14:textId="77777777" w:rsidTr="00D97174">
        <w:trPr>
          <w:trHeight w:val="538"/>
        </w:trPr>
        <w:tc>
          <w:tcPr>
            <w:tcW w:w="5575" w:type="dxa"/>
            <w:vMerge/>
            <w:vAlign w:val="center"/>
          </w:tcPr>
          <w:p w14:paraId="47A78330" w14:textId="77777777" w:rsidR="00A47809" w:rsidRPr="004F7E58" w:rsidRDefault="00A47809" w:rsidP="00D97174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0060AD4C" w14:textId="77777777" w:rsidR="00A47809" w:rsidRPr="004F7E58" w:rsidRDefault="00A47809" w:rsidP="00D97174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0000"/>
          </w:tcPr>
          <w:p w14:paraId="17E4DC75" w14:textId="77777777" w:rsidR="00A47809" w:rsidRPr="004F7E58" w:rsidRDefault="00A47809" w:rsidP="00D97174">
            <w:pPr>
              <w:jc w:val="center"/>
              <w:rPr>
                <w:noProof/>
                <w:sz w:val="18"/>
              </w:rPr>
            </w:pPr>
          </w:p>
        </w:tc>
      </w:tr>
      <w:tr w:rsidR="00A47809" w:rsidRPr="004F7E58" w14:paraId="3CE4953D" w14:textId="77777777" w:rsidTr="00D97174">
        <w:trPr>
          <w:trHeight w:val="538"/>
        </w:trPr>
        <w:tc>
          <w:tcPr>
            <w:tcW w:w="5575" w:type="dxa"/>
            <w:vMerge/>
          </w:tcPr>
          <w:p w14:paraId="502EFB29" w14:textId="77777777" w:rsidR="00A47809" w:rsidRPr="004F7E58" w:rsidRDefault="00A47809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35663620" w14:textId="77777777" w:rsidR="00A47809" w:rsidRPr="004F7E58" w:rsidRDefault="00A47809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djelomično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E599" w:themeFill="accent4" w:themeFillTint="66"/>
          </w:tcPr>
          <w:p w14:paraId="2D37487C" w14:textId="77777777" w:rsidR="00A47809" w:rsidRPr="004F7E58" w:rsidRDefault="00A47809" w:rsidP="00D97174">
            <w:pPr>
              <w:jc w:val="center"/>
              <w:rPr>
                <w:noProof/>
                <w:sz w:val="18"/>
              </w:rPr>
            </w:pPr>
          </w:p>
        </w:tc>
      </w:tr>
      <w:tr w:rsidR="00A47809" w:rsidRPr="004F7E58" w14:paraId="53B6510E" w14:textId="77777777" w:rsidTr="00D97174">
        <w:trPr>
          <w:trHeight w:val="538"/>
        </w:trPr>
        <w:tc>
          <w:tcPr>
            <w:tcW w:w="5575" w:type="dxa"/>
            <w:vMerge/>
          </w:tcPr>
          <w:p w14:paraId="283E16FC" w14:textId="77777777" w:rsidR="00A47809" w:rsidRPr="004F7E58" w:rsidRDefault="00A47809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71048282" w14:textId="77777777" w:rsidR="00A47809" w:rsidRPr="004F7E58" w:rsidRDefault="00A47809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C5E0B3" w:themeFill="accent6" w:themeFillTint="66"/>
          </w:tcPr>
          <w:p w14:paraId="550FA192" w14:textId="2DCD54FB" w:rsidR="00A47809" w:rsidRPr="004F7E58" w:rsidRDefault="00A47809" w:rsidP="00D97174">
            <w:pPr>
              <w:jc w:val="center"/>
              <w:rPr>
                <w:noProof/>
                <w:sz w:val="18"/>
              </w:rPr>
            </w:pPr>
          </w:p>
        </w:tc>
      </w:tr>
      <w:tr w:rsidR="00A47809" w:rsidRPr="004F7E58" w14:paraId="004E2060" w14:textId="77777777" w:rsidTr="000C34AF">
        <w:trPr>
          <w:trHeight w:val="538"/>
        </w:trPr>
        <w:tc>
          <w:tcPr>
            <w:tcW w:w="5575" w:type="dxa"/>
            <w:vMerge/>
          </w:tcPr>
          <w:p w14:paraId="145058F6" w14:textId="77777777" w:rsidR="00A47809" w:rsidRPr="004F7E58" w:rsidRDefault="00A47809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697184CB" w14:textId="77777777" w:rsidR="00A47809" w:rsidRPr="004F7E58" w:rsidRDefault="00A47809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istekao</w:t>
            </w:r>
            <w:proofErr w:type="spellEnd"/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3005F20" w14:textId="1AEDBF37" w:rsidR="00A47809" w:rsidRPr="004F7E58" w:rsidRDefault="00E159EB" w:rsidP="00100F61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1</w:t>
            </w:r>
          </w:p>
        </w:tc>
      </w:tr>
      <w:tr w:rsidR="00A47809" w:rsidRPr="004F7E58" w14:paraId="7B18442A" w14:textId="77777777" w:rsidTr="00D97174">
        <w:trPr>
          <w:trHeight w:val="538"/>
        </w:trPr>
        <w:tc>
          <w:tcPr>
            <w:tcW w:w="5575" w:type="dxa"/>
            <w:vMerge/>
          </w:tcPr>
          <w:p w14:paraId="503CBCDE" w14:textId="77777777" w:rsidR="00A47809" w:rsidRPr="004F7E58" w:rsidRDefault="00A47809" w:rsidP="00D97174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4526811E" w14:textId="77777777" w:rsidR="00A47809" w:rsidRPr="004F7E58" w:rsidRDefault="00A47809" w:rsidP="00D97174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definirana</w:t>
            </w:r>
            <w:proofErr w:type="spellEnd"/>
          </w:p>
        </w:tc>
        <w:tc>
          <w:tcPr>
            <w:tcW w:w="535" w:type="dxa"/>
            <w:shd w:val="clear" w:color="auto" w:fill="FFCCFF"/>
          </w:tcPr>
          <w:p w14:paraId="71343669" w14:textId="77777777" w:rsidR="00A47809" w:rsidRPr="004F7E58" w:rsidRDefault="00A47809" w:rsidP="00D97174">
            <w:pPr>
              <w:jc w:val="center"/>
              <w:rPr>
                <w:noProof/>
                <w:sz w:val="18"/>
              </w:rPr>
            </w:pPr>
          </w:p>
        </w:tc>
      </w:tr>
    </w:tbl>
    <w:p w14:paraId="6CFC005B" w14:textId="77777777" w:rsidR="00A47809" w:rsidRPr="004F7E58" w:rsidRDefault="00A47809" w:rsidP="00A47809">
      <w:pPr>
        <w:rPr>
          <w:noProof/>
        </w:rPr>
      </w:pPr>
    </w:p>
    <w:p w14:paraId="1AA6A211" w14:textId="387A1BE3" w:rsidR="00A47809" w:rsidRPr="004F7E58" w:rsidRDefault="00E159EB" w:rsidP="00A47809">
      <w:pPr>
        <w:rPr>
          <w:noProof/>
        </w:rPr>
      </w:pPr>
      <w:r w:rsidRPr="004F7E58">
        <w:rPr>
          <w:noProof/>
        </w:rPr>
        <w:t>Cilj stuba je definisan za postizanje 202</w:t>
      </w:r>
      <w:r w:rsidR="00237ECB">
        <w:rPr>
          <w:noProof/>
        </w:rPr>
        <w:t>5.</w:t>
      </w:r>
      <w:r w:rsidRPr="004F7E58">
        <w:rPr>
          <w:noProof/>
        </w:rPr>
        <w:t xml:space="preserve"> godine. </w:t>
      </w:r>
      <w:r w:rsidR="00C7078D" w:rsidRPr="004F7E58">
        <w:rPr>
          <w:noProof/>
        </w:rPr>
        <w:t>Rok za realizaciju nije istekao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46"/>
        <w:gridCol w:w="3065"/>
        <w:gridCol w:w="2016"/>
        <w:gridCol w:w="2323"/>
      </w:tblGrid>
      <w:tr w:rsidR="009A3A4C" w:rsidRPr="004F7E58" w14:paraId="1CB841B3" w14:textId="77777777" w:rsidTr="009A3A4C">
        <w:tc>
          <w:tcPr>
            <w:tcW w:w="1946" w:type="dxa"/>
            <w:shd w:val="clear" w:color="auto" w:fill="D9E2F3" w:themeFill="accent5" w:themeFillTint="33"/>
          </w:tcPr>
          <w:p w14:paraId="5136258A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Rezultat</w:t>
            </w:r>
          </w:p>
        </w:tc>
        <w:tc>
          <w:tcPr>
            <w:tcW w:w="3065" w:type="dxa"/>
            <w:shd w:val="clear" w:color="auto" w:fill="D9E2F3" w:themeFill="accent5" w:themeFillTint="33"/>
          </w:tcPr>
          <w:p w14:paraId="254AFF58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Indikator</w:t>
            </w:r>
          </w:p>
        </w:tc>
        <w:tc>
          <w:tcPr>
            <w:tcW w:w="2016" w:type="dxa"/>
            <w:shd w:val="clear" w:color="auto" w:fill="D9E2F3" w:themeFill="accent5" w:themeFillTint="33"/>
          </w:tcPr>
          <w:p w14:paraId="49328F23" w14:textId="5EF120A8" w:rsidR="009A3A4C" w:rsidRPr="004F7E58" w:rsidRDefault="009A3A4C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Ciljna vrijednost u 202</w:t>
            </w:r>
            <w:r w:rsidR="00461EB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  <w:tc>
          <w:tcPr>
            <w:tcW w:w="2323" w:type="dxa"/>
            <w:shd w:val="clear" w:color="auto" w:fill="D9E2F3" w:themeFill="accent5" w:themeFillTint="33"/>
          </w:tcPr>
          <w:p w14:paraId="33AA0616" w14:textId="1140B158" w:rsidR="009A3A4C" w:rsidRPr="004F7E58" w:rsidRDefault="009A3A4C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Ostvarenje u 202</w:t>
            </w:r>
            <w:r w:rsidR="00461EB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9A3A4C" w:rsidRPr="004F7E58" w14:paraId="70B27D93" w14:textId="77777777" w:rsidTr="00641C67">
        <w:tc>
          <w:tcPr>
            <w:tcW w:w="1946" w:type="dxa"/>
            <w:tcBorders>
              <w:bottom w:val="single" w:sz="4" w:space="0" w:color="auto"/>
            </w:tcBorders>
          </w:tcPr>
          <w:p w14:paraId="63BD4359" w14:textId="144A8D08" w:rsidR="009A3A4C" w:rsidRPr="004F7E58" w:rsidRDefault="00641C67" w:rsidP="00100F6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III.A Veza politika i budžeta je pojačana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6ECD8692" w14:textId="4C42E8BF" w:rsidR="009A3A4C" w:rsidRPr="004F7E58" w:rsidRDefault="00641C67" w:rsidP="000C34AF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III.A.a Budžet FBIH se priprema, usvaja i objavljuje u programskom formatu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5DB075B0" w14:textId="3C163D75" w:rsidR="009A3A4C" w:rsidRPr="004F7E58" w:rsidRDefault="001A59F4" w:rsidP="004F7E58">
            <w:pPr>
              <w:pStyle w:val="NormalPFM1"/>
              <w:jc w:val="center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1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9FDB72" w14:textId="20D9125C" w:rsidR="009A3A4C" w:rsidRPr="004F7E58" w:rsidRDefault="00641C67" w:rsidP="000C34AF">
            <w:pPr>
              <w:pStyle w:val="NormalPFM1"/>
              <w:jc w:val="left"/>
              <w:rPr>
                <w:noProof/>
                <w:lang w:val="en-US"/>
              </w:rPr>
            </w:pPr>
            <w:r w:rsidRPr="004F7E58">
              <w:rPr>
                <w:noProof/>
                <w:lang w:val="en-US"/>
              </w:rPr>
              <w:t>Rok za realizaciju još nije istekao</w:t>
            </w:r>
          </w:p>
        </w:tc>
      </w:tr>
      <w:tr w:rsidR="009A3A4C" w:rsidRPr="004F7E58" w14:paraId="7A3388EA" w14:textId="77777777" w:rsidTr="009A3A4C"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87674" w14:textId="77777777" w:rsidR="009A3A4C" w:rsidRPr="004F7E58" w:rsidRDefault="009A3A4C" w:rsidP="00112527">
            <w:pPr>
              <w:pStyle w:val="NormalPFM1"/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4F1F8" w14:textId="7B99E3DF" w:rsidR="009A3A4C" w:rsidRPr="004F7E58" w:rsidRDefault="001A79C2" w:rsidP="00112527">
            <w:pPr>
              <w:pStyle w:val="NormalPFM1"/>
              <w:rPr>
                <w:noProof/>
                <w:lang w:val="en-US"/>
              </w:rPr>
            </w:pPr>
            <w:r w:rsidRPr="004F7E58">
              <w:rPr>
                <w:noProof/>
                <w:lang w:val="en-US"/>
              </w:rPr>
              <w:t>Rok za realizaciju još nije istekao.</w:t>
            </w:r>
          </w:p>
        </w:tc>
      </w:tr>
    </w:tbl>
    <w:p w14:paraId="6916F0D2" w14:textId="77777777" w:rsidR="00317457" w:rsidRPr="004F7E58" w:rsidRDefault="00317457" w:rsidP="00317457">
      <w:pPr>
        <w:rPr>
          <w:lang w:val="bs-Latn-BA"/>
        </w:rPr>
      </w:pPr>
    </w:p>
    <w:p w14:paraId="302195FC" w14:textId="39090CFB" w:rsidR="00317457" w:rsidRPr="004F7E58" w:rsidRDefault="00F13B99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24" w:name="_Toc214450230"/>
      <w:r w:rsidRPr="004F7E58">
        <w:rPr>
          <w:b/>
          <w:color w:val="C00000"/>
          <w:lang w:val="bs-Latn-BA"/>
        </w:rPr>
        <w:t>Statistički pregled statusa aktivnosti i rezultata mjere</w:t>
      </w:r>
      <w:bookmarkEnd w:id="24"/>
    </w:p>
    <w:p w14:paraId="1383BB64" w14:textId="77777777" w:rsidR="00317457" w:rsidRPr="004F7E58" w:rsidRDefault="00317457" w:rsidP="00317457">
      <w:pPr>
        <w:pStyle w:val="NormalPFM1"/>
        <w:rPr>
          <w:noProof/>
          <w:lang w:val="en-US" w:eastAsia="en-US"/>
        </w:rPr>
      </w:pPr>
    </w:p>
    <w:tbl>
      <w:tblPr>
        <w:tblStyle w:val="TableGrid"/>
        <w:tblpPr w:leftFromText="180" w:rightFromText="180" w:vertAnchor="text" w:horzAnchor="margin" w:tblpY="113"/>
        <w:tblW w:w="9365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4"/>
        <w:gridCol w:w="283"/>
        <w:gridCol w:w="4142"/>
        <w:gridCol w:w="236"/>
        <w:gridCol w:w="16"/>
        <w:gridCol w:w="288"/>
        <w:gridCol w:w="10"/>
      </w:tblGrid>
      <w:tr w:rsidR="00317457" w:rsidRPr="004F7E58" w14:paraId="3029C36D" w14:textId="77777777" w:rsidTr="004F7E58">
        <w:trPr>
          <w:gridAfter w:val="1"/>
          <w:wAfter w:w="10" w:type="dxa"/>
          <w:trHeight w:val="20"/>
        </w:trPr>
        <w:tc>
          <w:tcPr>
            <w:tcW w:w="562" w:type="dxa"/>
          </w:tcPr>
          <w:p w14:paraId="3FB8B2CF" w14:textId="156B0CF2" w:rsidR="00317457" w:rsidRPr="004F7E58" w:rsidRDefault="00317457" w:rsidP="009E2172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lastRenderedPageBreak/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II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.1</w:t>
            </w:r>
          </w:p>
        </w:tc>
        <w:tc>
          <w:tcPr>
            <w:tcW w:w="8793" w:type="dxa"/>
            <w:gridSpan w:val="7"/>
          </w:tcPr>
          <w:p w14:paraId="2BB093FB" w14:textId="305F5B00" w:rsidR="00317457" w:rsidRPr="004F7E58" w:rsidRDefault="00641C67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Pravni okvir</w:t>
            </w:r>
          </w:p>
        </w:tc>
      </w:tr>
      <w:tr w:rsidR="00317457" w:rsidRPr="004F7E58" w14:paraId="309209BD" w14:textId="77777777" w:rsidTr="004F7E58">
        <w:trPr>
          <w:gridAfter w:val="1"/>
          <w:wAfter w:w="10" w:type="dxa"/>
          <w:trHeight w:val="20"/>
        </w:trPr>
        <w:tc>
          <w:tcPr>
            <w:tcW w:w="562" w:type="dxa"/>
          </w:tcPr>
          <w:p w14:paraId="4D3AEBC3" w14:textId="46DC508B" w:rsidR="00317457" w:rsidRPr="004F7E58" w:rsidRDefault="005730F2" w:rsidP="009E2172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II</w:t>
            </w:r>
            <w:r w:rsidR="00317457" w:rsidRPr="004F7E58">
              <w:rPr>
                <w:rFonts w:cs="Calibri"/>
                <w:noProof/>
                <w:sz w:val="20"/>
                <w:lang w:val="bs-Latn-BA"/>
              </w:rPr>
              <w:t>I.2</w:t>
            </w:r>
          </w:p>
        </w:tc>
        <w:tc>
          <w:tcPr>
            <w:tcW w:w="8793" w:type="dxa"/>
            <w:gridSpan w:val="7"/>
          </w:tcPr>
          <w:p w14:paraId="68737666" w14:textId="684204D3" w:rsidR="00317457" w:rsidRPr="004F7E58" w:rsidRDefault="00641C67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Proširivanje obuhvata budžeta i DOB-a</w:t>
            </w:r>
          </w:p>
        </w:tc>
      </w:tr>
      <w:tr w:rsidR="00317457" w:rsidRPr="004F7E58" w14:paraId="57A62013" w14:textId="77777777" w:rsidTr="004F7E58">
        <w:trPr>
          <w:gridAfter w:val="1"/>
          <w:wAfter w:w="10" w:type="dxa"/>
          <w:trHeight w:val="20"/>
        </w:trPr>
        <w:tc>
          <w:tcPr>
            <w:tcW w:w="562" w:type="dxa"/>
          </w:tcPr>
          <w:p w14:paraId="6D8C539A" w14:textId="0D0AB9EB" w:rsidR="00317457" w:rsidRPr="004F7E58" w:rsidRDefault="005730F2" w:rsidP="009E2172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II</w:t>
            </w:r>
            <w:r w:rsidR="00317457" w:rsidRPr="004F7E58">
              <w:rPr>
                <w:rFonts w:cs="Calibri"/>
                <w:noProof/>
                <w:sz w:val="20"/>
                <w:lang w:val="bs-Latn-BA"/>
              </w:rPr>
              <w:t>I.3</w:t>
            </w:r>
          </w:p>
        </w:tc>
        <w:tc>
          <w:tcPr>
            <w:tcW w:w="8793" w:type="dxa"/>
            <w:gridSpan w:val="7"/>
          </w:tcPr>
          <w:p w14:paraId="3B7020C6" w14:textId="52649916" w:rsidR="00317457" w:rsidRPr="004F7E58" w:rsidRDefault="00641C67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Uključiti vanbudžetske fondove i direkcije za puteve u budžete</w:t>
            </w:r>
          </w:p>
        </w:tc>
      </w:tr>
      <w:tr w:rsidR="00317457" w:rsidRPr="004F7E58" w14:paraId="3CA5110A" w14:textId="77777777" w:rsidTr="004F7E58">
        <w:trPr>
          <w:gridAfter w:val="1"/>
          <w:wAfter w:w="10" w:type="dxa"/>
          <w:trHeight w:val="20"/>
        </w:trPr>
        <w:tc>
          <w:tcPr>
            <w:tcW w:w="562" w:type="dxa"/>
          </w:tcPr>
          <w:p w14:paraId="1B295212" w14:textId="6F8B228B" w:rsidR="00317457" w:rsidRPr="004F7E58" w:rsidRDefault="005730F2" w:rsidP="009E2172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II</w:t>
            </w:r>
            <w:r w:rsidR="00317457" w:rsidRPr="004F7E58">
              <w:rPr>
                <w:rFonts w:cs="Calibri"/>
                <w:noProof/>
                <w:sz w:val="20"/>
                <w:lang w:val="bs-Latn-BA"/>
              </w:rPr>
              <w:t>I.4</w:t>
            </w:r>
          </w:p>
        </w:tc>
        <w:tc>
          <w:tcPr>
            <w:tcW w:w="8793" w:type="dxa"/>
            <w:gridSpan w:val="7"/>
          </w:tcPr>
          <w:p w14:paraId="1B3E35DD" w14:textId="2DECA793" w:rsidR="00317457" w:rsidRPr="004F7E58" w:rsidRDefault="00641C67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Unapređenje budžetiranja u programskom formatu</w:t>
            </w:r>
          </w:p>
        </w:tc>
      </w:tr>
      <w:tr w:rsidR="00641C67" w:rsidRPr="004F7E58" w14:paraId="5EF6D475" w14:textId="77777777" w:rsidTr="004F7E58">
        <w:trPr>
          <w:gridAfter w:val="1"/>
          <w:wAfter w:w="10" w:type="dxa"/>
          <w:trHeight w:val="20"/>
        </w:trPr>
        <w:tc>
          <w:tcPr>
            <w:tcW w:w="562" w:type="dxa"/>
          </w:tcPr>
          <w:p w14:paraId="438ADBB6" w14:textId="7E59171A" w:rsidR="00641C67" w:rsidRPr="004F7E58" w:rsidRDefault="00B05C3C" w:rsidP="009E2172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III.5</w:t>
            </w:r>
          </w:p>
        </w:tc>
        <w:tc>
          <w:tcPr>
            <w:tcW w:w="8793" w:type="dxa"/>
            <w:gridSpan w:val="7"/>
          </w:tcPr>
          <w:p w14:paraId="411BB4E0" w14:textId="689A15FA" w:rsidR="00641C67" w:rsidRPr="004F7E58" w:rsidRDefault="00B05C3C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Poboljšanje software-a za pripremu budzeta i trezorskog sistema na nivou FBiH i kantona</w:t>
            </w:r>
          </w:p>
        </w:tc>
      </w:tr>
      <w:tr w:rsidR="00641C67" w:rsidRPr="004F7E58" w14:paraId="5106F28D" w14:textId="77777777" w:rsidTr="004F7E58">
        <w:trPr>
          <w:gridAfter w:val="1"/>
          <w:wAfter w:w="10" w:type="dxa"/>
          <w:trHeight w:val="20"/>
        </w:trPr>
        <w:tc>
          <w:tcPr>
            <w:tcW w:w="562" w:type="dxa"/>
          </w:tcPr>
          <w:p w14:paraId="1D9154EC" w14:textId="3AD84F09" w:rsidR="00641C67" w:rsidRPr="004F7E58" w:rsidRDefault="00B05C3C" w:rsidP="009E2172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en-US"/>
              </w:rPr>
              <w:t>III.6</w:t>
            </w:r>
          </w:p>
        </w:tc>
        <w:tc>
          <w:tcPr>
            <w:tcW w:w="8793" w:type="dxa"/>
            <w:gridSpan w:val="7"/>
          </w:tcPr>
          <w:p w14:paraId="6B73B580" w14:textId="37D9441E" w:rsidR="00641C67" w:rsidRPr="004F7E58" w:rsidRDefault="00B05C3C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en-US"/>
              </w:rPr>
            </w:pPr>
            <w:r w:rsidRPr="004F7E58">
              <w:rPr>
                <w:noProof/>
                <w:sz w:val="20"/>
                <w:szCs w:val="20"/>
                <w:lang w:val="en-US"/>
              </w:rPr>
              <w:t>Unaprjeđenje planiranja, upravljanja i monitoringa javnih investicija</w:t>
            </w:r>
          </w:p>
        </w:tc>
      </w:tr>
      <w:tr w:rsidR="00641C67" w:rsidRPr="004F7E58" w14:paraId="5E52BF68" w14:textId="77777777" w:rsidTr="004F7E58">
        <w:trPr>
          <w:gridAfter w:val="1"/>
          <w:wAfter w:w="10" w:type="dxa"/>
          <w:trHeight w:val="20"/>
        </w:trPr>
        <w:tc>
          <w:tcPr>
            <w:tcW w:w="562" w:type="dxa"/>
          </w:tcPr>
          <w:p w14:paraId="1EFBCACD" w14:textId="175CD939" w:rsidR="00641C67" w:rsidRPr="004F7E58" w:rsidRDefault="00B05C3C" w:rsidP="009E2172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III.7</w:t>
            </w:r>
          </w:p>
        </w:tc>
        <w:tc>
          <w:tcPr>
            <w:tcW w:w="8793" w:type="dxa"/>
            <w:gridSpan w:val="7"/>
          </w:tcPr>
          <w:p w14:paraId="3C9FECF8" w14:textId="339EEBB1" w:rsidR="00641C67" w:rsidRPr="004F7E58" w:rsidRDefault="00B05C3C" w:rsidP="009E2172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 xml:space="preserve"> Uspostava struktura i kapaciteta za upravljanje sredstvima Evropske unije</w:t>
            </w:r>
          </w:p>
        </w:tc>
      </w:tr>
      <w:tr w:rsidR="00B05C3C" w:rsidRPr="004F7E58" w14:paraId="3873BB7F" w14:textId="77777777" w:rsidTr="004F7E58">
        <w:trPr>
          <w:gridAfter w:val="1"/>
          <w:wAfter w:w="10" w:type="dxa"/>
        </w:trPr>
        <w:tc>
          <w:tcPr>
            <w:tcW w:w="9355" w:type="dxa"/>
            <w:gridSpan w:val="8"/>
          </w:tcPr>
          <w:p w14:paraId="3517435B" w14:textId="6618DE42" w:rsidR="00B05C3C" w:rsidRPr="004F7E58" w:rsidRDefault="00333CB0" w:rsidP="004F7E5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Završeno je </w:t>
            </w:r>
            <w:r w:rsidR="00703498" w:rsidRPr="004F7E58">
              <w:rPr>
                <w:noProof/>
                <w:lang w:val="bs-Latn-BA"/>
              </w:rPr>
              <w:t xml:space="preserve">sedam </w:t>
            </w:r>
            <w:r w:rsidRPr="004F7E58">
              <w:rPr>
                <w:noProof/>
                <w:lang w:val="bs-Latn-BA"/>
              </w:rPr>
              <w:t xml:space="preserve">aktivnosti u prethodnom </w:t>
            </w:r>
            <w:r w:rsidR="00703498" w:rsidRPr="004F7E58">
              <w:rPr>
                <w:noProof/>
                <w:lang w:val="bs-Latn-BA"/>
              </w:rPr>
              <w:t xml:space="preserve">periodu i </w:t>
            </w:r>
            <w:r w:rsidR="006B79F8" w:rsidRPr="004F7E58">
              <w:rPr>
                <w:noProof/>
                <w:lang w:val="bs-Latn-BA"/>
              </w:rPr>
              <w:t>dvije</w:t>
            </w:r>
            <w:r w:rsidR="00703498" w:rsidRPr="004F7E58">
              <w:rPr>
                <w:noProof/>
                <w:lang w:val="bs-Latn-BA"/>
              </w:rPr>
              <w:t xml:space="preserve"> u izvještajnom periodu (</w:t>
            </w:r>
            <w:r w:rsidR="006B79F8" w:rsidRPr="004F7E58">
              <w:rPr>
                <w:noProof/>
                <w:lang w:val="bs-Latn-BA"/>
              </w:rPr>
              <w:t xml:space="preserve">jedna po planu i jedna </w:t>
            </w:r>
            <w:r w:rsidR="00703498" w:rsidRPr="004F7E58">
              <w:rPr>
                <w:noProof/>
                <w:lang w:val="bs-Latn-BA"/>
              </w:rPr>
              <w:t xml:space="preserve">prije planiranog roka). Šest </w:t>
            </w:r>
            <w:r w:rsidR="00031B6F" w:rsidRPr="004F7E58">
              <w:rPr>
                <w:noProof/>
                <w:lang w:val="bs-Latn-BA"/>
              </w:rPr>
              <w:t xml:space="preserve">aktivnosti </w:t>
            </w:r>
            <w:r w:rsidRPr="004F7E58">
              <w:rPr>
                <w:noProof/>
                <w:lang w:val="bs-Latn-BA"/>
              </w:rPr>
              <w:t>su u toku</w:t>
            </w:r>
            <w:r w:rsidR="00364912" w:rsidRPr="004F7E58">
              <w:rPr>
                <w:noProof/>
                <w:lang w:val="bs-Latn-BA"/>
              </w:rPr>
              <w:t xml:space="preserve">. Planirano je dodatnih </w:t>
            </w:r>
            <w:r w:rsidR="00703498" w:rsidRPr="004F7E58">
              <w:rPr>
                <w:noProof/>
                <w:lang w:val="bs-Latn-BA"/>
              </w:rPr>
              <w:t xml:space="preserve">pet </w:t>
            </w:r>
            <w:r w:rsidR="00364912" w:rsidRPr="004F7E58">
              <w:rPr>
                <w:noProof/>
                <w:lang w:val="bs-Latn-BA"/>
              </w:rPr>
              <w:t xml:space="preserve">aktivnosti koje nisu započete. </w:t>
            </w:r>
            <w:r w:rsidR="00216257" w:rsidRPr="004F7E58">
              <w:rPr>
                <w:noProof/>
                <w:lang w:val="bs-Latn-BA"/>
              </w:rPr>
              <w:t xml:space="preserve">U odnosu na rezultate mjere, </w:t>
            </w:r>
            <w:r w:rsidR="00703498" w:rsidRPr="004F7E58">
              <w:rPr>
                <w:noProof/>
                <w:lang w:val="bs-Latn-BA"/>
              </w:rPr>
              <w:t xml:space="preserve">sedam </w:t>
            </w:r>
            <w:r w:rsidR="00CB5B3E" w:rsidRPr="004F7E58">
              <w:rPr>
                <w:noProof/>
                <w:lang w:val="bs-Latn-BA"/>
              </w:rPr>
              <w:t>rezultat</w:t>
            </w:r>
            <w:r w:rsidR="0075330E" w:rsidRPr="004F7E58">
              <w:rPr>
                <w:noProof/>
                <w:lang w:val="bs-Latn-BA"/>
              </w:rPr>
              <w:t>a</w:t>
            </w:r>
            <w:r w:rsidR="00CB5B3E" w:rsidRPr="004F7E58">
              <w:rPr>
                <w:noProof/>
                <w:lang w:val="bs-Latn-BA"/>
              </w:rPr>
              <w:t xml:space="preserve"> mjere </w:t>
            </w:r>
            <w:r w:rsidR="0075330E" w:rsidRPr="004F7E58">
              <w:rPr>
                <w:noProof/>
                <w:lang w:val="bs-Latn-BA"/>
              </w:rPr>
              <w:t xml:space="preserve">su </w:t>
            </w:r>
            <w:r w:rsidR="00CB5B3E" w:rsidRPr="004F7E58">
              <w:rPr>
                <w:noProof/>
                <w:lang w:val="bs-Latn-BA"/>
              </w:rPr>
              <w:t xml:space="preserve">djelomično </w:t>
            </w:r>
            <w:r w:rsidR="00703498" w:rsidRPr="004F7E58">
              <w:rPr>
                <w:noProof/>
                <w:lang w:val="bs-Latn-BA"/>
              </w:rPr>
              <w:t>ostvareni</w:t>
            </w:r>
            <w:r w:rsidR="00CB5B3E" w:rsidRPr="004F7E58">
              <w:rPr>
                <w:noProof/>
                <w:lang w:val="bs-Latn-BA"/>
              </w:rPr>
              <w:t xml:space="preserve">, </w:t>
            </w:r>
            <w:r w:rsidR="0075330E" w:rsidRPr="004F7E58">
              <w:rPr>
                <w:noProof/>
                <w:lang w:val="bs-Latn-BA"/>
              </w:rPr>
              <w:t>jedan u potpunosti</w:t>
            </w:r>
            <w:r w:rsidR="006B79F8" w:rsidRPr="004F7E58">
              <w:rPr>
                <w:noProof/>
                <w:lang w:val="bs-Latn-BA"/>
              </w:rPr>
              <w:t xml:space="preserve"> u izvještajnom periodu i jedan u potpunosti u ranijem periodu.</w:t>
            </w:r>
            <w:r w:rsidR="0075330E" w:rsidRPr="004F7E58">
              <w:rPr>
                <w:noProof/>
                <w:lang w:val="bs-Latn-BA"/>
              </w:rPr>
              <w:t xml:space="preserve"> </w:t>
            </w:r>
            <w:r w:rsidR="006B79F8" w:rsidRPr="004F7E58">
              <w:rPr>
                <w:noProof/>
                <w:lang w:val="bs-Latn-BA"/>
              </w:rPr>
              <w:t xml:space="preserve">Za pet </w:t>
            </w:r>
            <w:r w:rsidR="00B762A4" w:rsidRPr="004F7E58">
              <w:rPr>
                <w:noProof/>
                <w:lang w:val="bs-Latn-BA"/>
              </w:rPr>
              <w:t xml:space="preserve">rezultata mjere </w:t>
            </w:r>
            <w:r w:rsidR="00216257" w:rsidRPr="004F7E58">
              <w:rPr>
                <w:noProof/>
                <w:lang w:val="bs-Latn-BA"/>
              </w:rPr>
              <w:t>rok za realizaciju nije istekao</w:t>
            </w:r>
            <w:r w:rsidR="004E26B6" w:rsidRPr="004F7E58">
              <w:rPr>
                <w:noProof/>
                <w:lang w:val="bs-Latn-BA"/>
              </w:rPr>
              <w:t xml:space="preserve"> u </w:t>
            </w:r>
            <w:r w:rsidR="006B79F8" w:rsidRPr="004F7E58">
              <w:rPr>
                <w:noProof/>
                <w:lang w:val="bs-Latn-BA"/>
              </w:rPr>
              <w:t>2024</w:t>
            </w:r>
            <w:r w:rsidR="004E26B6" w:rsidRPr="004F7E58">
              <w:rPr>
                <w:noProof/>
                <w:lang w:val="bs-Latn-BA"/>
              </w:rPr>
              <w:t>. godini</w:t>
            </w:r>
            <w:r w:rsidR="00216257" w:rsidRPr="004F7E58">
              <w:rPr>
                <w:noProof/>
                <w:lang w:val="bs-Latn-BA"/>
              </w:rPr>
              <w:t>.</w:t>
            </w:r>
            <w:r w:rsidR="006B79F8" w:rsidRPr="004F7E58">
              <w:rPr>
                <w:noProof/>
                <w:lang w:val="bs-Latn-BA"/>
              </w:rPr>
              <w:t xml:space="preserve"> Jedna od završenih aktivnosti nije imala definisan rezultat mjere.</w:t>
            </w:r>
            <w:r w:rsidR="00216257" w:rsidRPr="004F7E58">
              <w:rPr>
                <w:noProof/>
                <w:lang w:val="bs-Latn-BA"/>
              </w:rPr>
              <w:t xml:space="preserve"> </w:t>
            </w:r>
          </w:p>
          <w:p w14:paraId="238B777D" w14:textId="38C06972" w:rsidR="00782C80" w:rsidRPr="004F7E58" w:rsidRDefault="00782C80" w:rsidP="004F7E5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2024. godini, brisana je jedna aktivnost i pripadajući rezultat mjere. </w:t>
            </w:r>
          </w:p>
        </w:tc>
      </w:tr>
      <w:tr w:rsidR="00B05C3C" w:rsidRPr="004F7E58" w14:paraId="7E4F84AE" w14:textId="77777777" w:rsidTr="004F7E58">
        <w:trPr>
          <w:gridAfter w:val="1"/>
          <w:wAfter w:w="10" w:type="dxa"/>
        </w:trPr>
        <w:tc>
          <w:tcPr>
            <w:tcW w:w="4673" w:type="dxa"/>
            <w:gridSpan w:val="4"/>
          </w:tcPr>
          <w:p w14:paraId="4AECBCBF" w14:textId="209D46E0" w:rsidR="00B05C3C" w:rsidRPr="004F7E58" w:rsidRDefault="00254458" w:rsidP="00B05C3C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</w:rPr>
              <w:t xml:space="preserve"> </w:t>
            </w: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37B72511" wp14:editId="0815C7BC">
                  <wp:extent cx="2513888" cy="2368210"/>
                  <wp:effectExtent l="0" t="0" r="1270" b="13335"/>
                  <wp:docPr id="12" name="Chart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4682" w:type="dxa"/>
            <w:gridSpan w:val="4"/>
          </w:tcPr>
          <w:p w14:paraId="7711BB68" w14:textId="6F299B75" w:rsidR="00B05C3C" w:rsidRPr="004F7E58" w:rsidRDefault="00254458" w:rsidP="00B05C3C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</w:rPr>
              <w:t xml:space="preserve"> </w:t>
            </w: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68639E0B" wp14:editId="50B304A1">
                  <wp:extent cx="2491325" cy="2368210"/>
                  <wp:effectExtent l="0" t="0" r="4445" b="13335"/>
                  <wp:docPr id="13" name="Chart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E223CF" w:rsidRPr="004F7E58" w14:paraId="42FBE9BD" w14:textId="77777777" w:rsidTr="004F7E58">
        <w:tc>
          <w:tcPr>
            <w:tcW w:w="4106" w:type="dxa"/>
            <w:gridSpan w:val="2"/>
          </w:tcPr>
          <w:p w14:paraId="6743DE83" w14:textId="6F2EA477" w:rsidR="00E223CF" w:rsidRPr="004F7E58" w:rsidRDefault="00E223CF" w:rsidP="004F7E58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(ali predviđeno u 202</w:t>
            </w:r>
            <w:r w:rsidR="00782C80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284" w:type="dxa"/>
            <w:shd w:val="clear" w:color="auto" w:fill="FF0000"/>
          </w:tcPr>
          <w:p w14:paraId="31BC2986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283" w:type="dxa"/>
          </w:tcPr>
          <w:p w14:paraId="1A91BCAB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142" w:type="dxa"/>
          </w:tcPr>
          <w:p w14:paraId="63FFAE6E" w14:textId="6218DF59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postignuta</w:t>
            </w:r>
          </w:p>
        </w:tc>
        <w:tc>
          <w:tcPr>
            <w:tcW w:w="236" w:type="dxa"/>
            <w:shd w:val="clear" w:color="auto" w:fill="FF0000"/>
          </w:tcPr>
          <w:p w14:paraId="62D3A8A5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14" w:type="dxa"/>
            <w:gridSpan w:val="3"/>
          </w:tcPr>
          <w:p w14:paraId="6CF9B75A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223CF" w:rsidRPr="004F7E58" w14:paraId="71FEA351" w14:textId="77777777" w:rsidTr="004F7E58">
        <w:tc>
          <w:tcPr>
            <w:tcW w:w="4106" w:type="dxa"/>
            <w:gridSpan w:val="2"/>
          </w:tcPr>
          <w:p w14:paraId="5542BCD1" w14:textId="26A7C8B1" w:rsidR="00E223CF" w:rsidRPr="004F7E58" w:rsidRDefault="00E223CF" w:rsidP="004F7E58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782C80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7C5290DD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283" w:type="dxa"/>
          </w:tcPr>
          <w:p w14:paraId="068C608E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142" w:type="dxa"/>
          </w:tcPr>
          <w:p w14:paraId="5260DB36" w14:textId="5D5F3796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  <w:tc>
          <w:tcPr>
            <w:tcW w:w="236" w:type="dxa"/>
            <w:shd w:val="clear" w:color="auto" w:fill="FFE599" w:themeFill="accent4" w:themeFillTint="66"/>
          </w:tcPr>
          <w:p w14:paraId="68C68639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14" w:type="dxa"/>
            <w:gridSpan w:val="3"/>
          </w:tcPr>
          <w:p w14:paraId="23183038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223CF" w:rsidRPr="004F7E58" w14:paraId="1CE0B336" w14:textId="77777777" w:rsidTr="004F7E58">
        <w:tc>
          <w:tcPr>
            <w:tcW w:w="4106" w:type="dxa"/>
            <w:gridSpan w:val="2"/>
          </w:tcPr>
          <w:p w14:paraId="50CC457F" w14:textId="5D05DC0B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  <w:tc>
          <w:tcPr>
            <w:tcW w:w="284" w:type="dxa"/>
            <w:shd w:val="clear" w:color="auto" w:fill="FFE599" w:themeFill="accent4" w:themeFillTint="66"/>
          </w:tcPr>
          <w:p w14:paraId="479308B4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283" w:type="dxa"/>
          </w:tcPr>
          <w:p w14:paraId="6EC1CCFC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142" w:type="dxa"/>
          </w:tcPr>
          <w:p w14:paraId="1BE1D975" w14:textId="1C1F0B11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4260255C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14" w:type="dxa"/>
            <w:gridSpan w:val="3"/>
          </w:tcPr>
          <w:p w14:paraId="7D861BAD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223CF" w:rsidRPr="004F7E58" w14:paraId="6C4F7C7B" w14:textId="77777777" w:rsidTr="004F7E58">
        <w:tc>
          <w:tcPr>
            <w:tcW w:w="4106" w:type="dxa"/>
            <w:gridSpan w:val="2"/>
          </w:tcPr>
          <w:p w14:paraId="7347DFBA" w14:textId="0F0175F9" w:rsidR="00E223CF" w:rsidRPr="004F7E58" w:rsidRDefault="00E223CF" w:rsidP="004F7E58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126197" w:rsidRPr="004F7E58">
              <w:rPr>
                <w:noProof/>
                <w:lang w:val="bs-Latn-BA"/>
              </w:rPr>
              <w:t>u 202</w:t>
            </w:r>
            <w:r w:rsidR="00782C80" w:rsidRPr="004F7E58">
              <w:rPr>
                <w:noProof/>
                <w:lang w:val="bs-Latn-BA"/>
              </w:rPr>
              <w:t>4</w:t>
            </w:r>
          </w:p>
        </w:tc>
        <w:tc>
          <w:tcPr>
            <w:tcW w:w="284" w:type="dxa"/>
            <w:shd w:val="clear" w:color="auto" w:fill="C5E0B3" w:themeFill="accent6" w:themeFillTint="66"/>
          </w:tcPr>
          <w:p w14:paraId="275EDCDB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color w:val="FFFF00"/>
                <w:lang w:val="bs-Latn-BA"/>
              </w:rPr>
            </w:pPr>
          </w:p>
        </w:tc>
        <w:tc>
          <w:tcPr>
            <w:tcW w:w="283" w:type="dxa"/>
          </w:tcPr>
          <w:p w14:paraId="7D4B81D1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142" w:type="dxa"/>
          </w:tcPr>
          <w:p w14:paraId="54C01AF9" w14:textId="7867CE13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68D79999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14" w:type="dxa"/>
            <w:gridSpan w:val="3"/>
          </w:tcPr>
          <w:p w14:paraId="322C65F0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E223CF" w:rsidRPr="004F7E58" w14:paraId="358E04AC" w14:textId="77777777" w:rsidTr="004F7E58">
        <w:tc>
          <w:tcPr>
            <w:tcW w:w="4106" w:type="dxa"/>
            <w:gridSpan w:val="2"/>
          </w:tcPr>
          <w:p w14:paraId="406761C9" w14:textId="29182B20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iz prethodnog perioda</w:t>
            </w:r>
          </w:p>
        </w:tc>
        <w:tc>
          <w:tcPr>
            <w:tcW w:w="284" w:type="dxa"/>
            <w:shd w:val="clear" w:color="auto" w:fill="00B050"/>
          </w:tcPr>
          <w:p w14:paraId="591F3376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283" w:type="dxa"/>
          </w:tcPr>
          <w:p w14:paraId="1D060EBC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142" w:type="dxa"/>
          </w:tcPr>
          <w:p w14:paraId="0C70061C" w14:textId="3DC75189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definirana</w:t>
            </w:r>
          </w:p>
        </w:tc>
        <w:tc>
          <w:tcPr>
            <w:tcW w:w="236" w:type="dxa"/>
            <w:shd w:val="clear" w:color="auto" w:fill="FFCCFF"/>
          </w:tcPr>
          <w:p w14:paraId="40A72269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14" w:type="dxa"/>
            <w:gridSpan w:val="3"/>
          </w:tcPr>
          <w:p w14:paraId="66DFDF7F" w14:textId="77777777" w:rsidR="00E223CF" w:rsidRPr="004F7E58" w:rsidRDefault="00E223CF" w:rsidP="00E223CF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333CB0" w:rsidRPr="004F7E58" w14:paraId="331756A3" w14:textId="77777777" w:rsidTr="004F7E58">
        <w:trPr>
          <w:gridAfter w:val="1"/>
          <w:wAfter w:w="10" w:type="dxa"/>
        </w:trPr>
        <w:tc>
          <w:tcPr>
            <w:tcW w:w="4106" w:type="dxa"/>
            <w:gridSpan w:val="2"/>
          </w:tcPr>
          <w:p w14:paraId="7320D6AD" w14:textId="228FC672" w:rsidR="00333CB0" w:rsidRPr="004F7E58" w:rsidRDefault="00333CB0" w:rsidP="00333CB0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284" w:type="dxa"/>
          </w:tcPr>
          <w:p w14:paraId="4DD8A20F" w14:textId="77777777" w:rsidR="00333CB0" w:rsidRPr="004F7E58" w:rsidRDefault="00333CB0" w:rsidP="00333CB0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283" w:type="dxa"/>
          </w:tcPr>
          <w:p w14:paraId="0ACDF2FE" w14:textId="77777777" w:rsidR="00333CB0" w:rsidRPr="004F7E58" w:rsidRDefault="00333CB0" w:rsidP="00333CB0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142" w:type="dxa"/>
          </w:tcPr>
          <w:p w14:paraId="19EFB013" w14:textId="40EDCEBA" w:rsidR="00333CB0" w:rsidRPr="004F7E58" w:rsidRDefault="00333CB0" w:rsidP="00333CB0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 u prethodnom periodu</w:t>
            </w:r>
          </w:p>
        </w:tc>
        <w:tc>
          <w:tcPr>
            <w:tcW w:w="252" w:type="dxa"/>
            <w:gridSpan w:val="2"/>
            <w:shd w:val="clear" w:color="auto" w:fill="00B050"/>
          </w:tcPr>
          <w:p w14:paraId="1B428C6A" w14:textId="77777777" w:rsidR="00333CB0" w:rsidRPr="004F7E58" w:rsidRDefault="00333CB0" w:rsidP="00333CB0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288" w:type="dxa"/>
          </w:tcPr>
          <w:p w14:paraId="63118B3C" w14:textId="77777777" w:rsidR="00333CB0" w:rsidRPr="004F7E58" w:rsidRDefault="00333CB0" w:rsidP="00333CB0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</w:tbl>
    <w:p w14:paraId="65C68BDB" w14:textId="77777777" w:rsidR="00317457" w:rsidRPr="004F7E58" w:rsidRDefault="00317457" w:rsidP="00A47809">
      <w:pPr>
        <w:pStyle w:val="NormalPFM1"/>
        <w:rPr>
          <w:lang w:val="bs-Latn-BA"/>
        </w:rPr>
      </w:pPr>
    </w:p>
    <w:p w14:paraId="0B4A8B35" w14:textId="101F946E" w:rsidR="00A47809" w:rsidRPr="004F7E58" w:rsidRDefault="00A47809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sz w:val="24"/>
        </w:rPr>
      </w:pPr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 xml:space="preserve"> </w:t>
      </w:r>
      <w:r w:rsidR="00B9686F" w:rsidRPr="004F7E58">
        <w:rPr>
          <w:b/>
          <w:i w:val="0"/>
          <w:color w:val="C00000"/>
          <w:sz w:val="24"/>
        </w:rPr>
        <w:t>II</w:t>
      </w:r>
      <w:r w:rsidRPr="004F7E58">
        <w:rPr>
          <w:b/>
          <w:i w:val="0"/>
          <w:color w:val="C00000"/>
          <w:sz w:val="24"/>
        </w:rPr>
        <w:t>I.1</w:t>
      </w:r>
      <w:r w:rsidR="006E58B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6E58BD" w:rsidRPr="004F7E58">
        <w:rPr>
          <w:b/>
          <w:i w:val="0"/>
          <w:color w:val="C00000"/>
          <w:sz w:val="24"/>
        </w:rPr>
        <w:t>Pravni</w:t>
      </w:r>
      <w:proofErr w:type="spellEnd"/>
      <w:r w:rsidR="006E58B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6E58BD" w:rsidRPr="004F7E58">
        <w:rPr>
          <w:b/>
          <w:i w:val="0"/>
          <w:color w:val="C00000"/>
          <w:sz w:val="24"/>
        </w:rPr>
        <w:t>okvir</w:t>
      </w:r>
      <w:proofErr w:type="spellEnd"/>
    </w:p>
    <w:p w14:paraId="45CB2E25" w14:textId="77777777" w:rsidR="00A47809" w:rsidRPr="004F7E58" w:rsidRDefault="00A47809" w:rsidP="00A47809">
      <w:pPr>
        <w:rPr>
          <w:b/>
        </w:rPr>
      </w:pPr>
    </w:p>
    <w:p w14:paraId="1EB61CA2" w14:textId="0813C581" w:rsidR="00A47809" w:rsidRPr="004F7E58" w:rsidRDefault="00A47809" w:rsidP="00A47809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D6637" w:rsidRPr="004F7E58" w14:paraId="4A94E9A1" w14:textId="77777777" w:rsidTr="00DC7F97">
        <w:tc>
          <w:tcPr>
            <w:tcW w:w="9350" w:type="dxa"/>
          </w:tcPr>
          <w:p w14:paraId="544733A3" w14:textId="6FBF330A" w:rsidR="008D6637" w:rsidRPr="004F7E58" w:rsidRDefault="008E2EE5" w:rsidP="007B579B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 xml:space="preserve">Aktivost </w:t>
            </w:r>
            <w:r w:rsidR="007B579B" w:rsidRPr="004F7E58">
              <w:rPr>
                <w:noProof/>
                <w:lang w:val="bs-Latn-BA"/>
              </w:rPr>
              <w:t>završena u 2022. godini</w:t>
            </w:r>
            <w:r w:rsidR="008D6637" w:rsidRPr="004F7E58">
              <w:rPr>
                <w:noProof/>
                <w:lang w:val="bs-Latn-BA"/>
              </w:rPr>
              <w:t xml:space="preserve">.     </w:t>
            </w:r>
          </w:p>
        </w:tc>
      </w:tr>
      <w:tr w:rsidR="008D6637" w:rsidRPr="004F7E58" w14:paraId="4874E3A1" w14:textId="77777777" w:rsidTr="00DC7F97">
        <w:tc>
          <w:tcPr>
            <w:tcW w:w="9350" w:type="dxa"/>
          </w:tcPr>
          <w:p w14:paraId="4DD3912A" w14:textId="2D905176" w:rsidR="008D6637" w:rsidRPr="004F7E58" w:rsidRDefault="00402E85" w:rsidP="007B579B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Rezultat mjere</w:t>
            </w:r>
            <w:r w:rsidR="007B579B" w:rsidRPr="004F7E58">
              <w:rPr>
                <w:noProof/>
                <w:lang w:val="bs-Latn-BA"/>
              </w:rPr>
              <w:t xml:space="preserve"> </w:t>
            </w:r>
            <w:r w:rsidR="008E2EE5" w:rsidRPr="004F7E58">
              <w:rPr>
                <w:noProof/>
                <w:lang w:val="bs-Latn-BA"/>
              </w:rPr>
              <w:t xml:space="preserve">– objava </w:t>
            </w:r>
            <w:r w:rsidR="00F1700E" w:rsidRPr="004F7E58">
              <w:rPr>
                <w:noProof/>
                <w:lang w:val="bs-Latn-BA"/>
              </w:rPr>
              <w:t>Zakona o budžetima</w:t>
            </w:r>
            <w:r w:rsidR="007B579B" w:rsidRPr="004F7E58">
              <w:rPr>
                <w:noProof/>
                <w:lang w:val="bs-Latn-BA"/>
              </w:rPr>
              <w:t xml:space="preserve"> sa odredbama koje se odnose na budžet u programskom formatu</w:t>
            </w:r>
            <w:r w:rsidR="0074085B" w:rsidRPr="004F7E58">
              <w:rPr>
                <w:noProof/>
                <w:lang w:val="bs-Latn-BA"/>
              </w:rPr>
              <w:t xml:space="preserve"> -</w:t>
            </w:r>
            <w:r w:rsidR="008D6637" w:rsidRPr="004F7E58">
              <w:rPr>
                <w:noProof/>
                <w:lang w:val="bs-Latn-BA"/>
              </w:rPr>
              <w:t xml:space="preserve"> </w:t>
            </w:r>
            <w:r w:rsidR="007B579B" w:rsidRPr="004F7E58">
              <w:rPr>
                <w:noProof/>
                <w:lang w:val="bs-Latn-BA"/>
              </w:rPr>
              <w:t>je ostvaren</w:t>
            </w:r>
            <w:r w:rsidR="008D6637" w:rsidRPr="004F7E58">
              <w:rPr>
                <w:noProof/>
                <w:lang w:val="bs-Latn-BA"/>
              </w:rPr>
              <w:t xml:space="preserve">. </w:t>
            </w:r>
          </w:p>
        </w:tc>
      </w:tr>
    </w:tbl>
    <w:p w14:paraId="61F857C9" w14:textId="77777777" w:rsidR="008D6637" w:rsidRPr="004F7E58" w:rsidRDefault="008D6637" w:rsidP="00A47809">
      <w:pPr>
        <w:rPr>
          <w:b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A47809" w:rsidRPr="004F7E58" w14:paraId="532A1F2A" w14:textId="77777777" w:rsidTr="008D663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ABD6" w14:textId="77777777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129A" w14:textId="08169F7B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9F7" w14:textId="1E1C759C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47809" w:rsidRPr="004F7E58" w14:paraId="16A67153" w14:textId="77777777" w:rsidTr="008E2EE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5E36" w14:textId="77777777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9D3" w14:textId="38259DB0" w:rsidR="00A47809" w:rsidRPr="004F7E58" w:rsidRDefault="006E58BD" w:rsidP="00D9717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III.1.1 Izmijeniti zakon o budzetima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A323F0" w14:textId="58F953AC" w:rsidR="00A47809" w:rsidRPr="004F7E58" w:rsidRDefault="008E2EE5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6F32A9" w:rsidRPr="004F7E58">
              <w:rPr>
                <w:noProof/>
                <w:lang w:val="bs-Latn-BA"/>
              </w:rPr>
              <w:t>u 2022.</w:t>
            </w:r>
          </w:p>
        </w:tc>
      </w:tr>
      <w:tr w:rsidR="005C7ADB" w:rsidRPr="004F7E58" w14:paraId="7305449B" w14:textId="77777777" w:rsidTr="008E2EE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D67" w14:textId="77777777" w:rsidR="005C7ADB" w:rsidRPr="004F7E58" w:rsidRDefault="005C7ADB" w:rsidP="005C7AD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080" w14:textId="4C4C62C3" w:rsidR="005C7ADB" w:rsidRPr="004F7E58" w:rsidRDefault="005C7ADB" w:rsidP="005C7ADB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III.1.A Zakon o budžetima je objavljen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C256E4C" w14:textId="0D176CBE" w:rsidR="005C7ADB" w:rsidRPr="004F7E58" w:rsidRDefault="006F32A9" w:rsidP="007B579B">
            <w:pPr>
              <w:pStyle w:val="NormalPFM1"/>
              <w:keepNext/>
              <w:spacing w:before="40" w:after="40" w:line="240" w:lineRule="auto"/>
              <w:jc w:val="left"/>
              <w:rPr>
                <w:strike/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postignut</w:t>
            </w:r>
          </w:p>
        </w:tc>
      </w:tr>
      <w:tr w:rsidR="005C7ADB" w:rsidRPr="004F7E58" w14:paraId="1CE53440" w14:textId="77777777" w:rsidTr="008D663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C25D6D6" w14:textId="77777777" w:rsidR="005C7ADB" w:rsidRPr="004F7E58" w:rsidRDefault="005C7ADB" w:rsidP="005C7ADB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B4DA5F9" w14:textId="757461B9" w:rsidR="005C7ADB" w:rsidRPr="004F7E58" w:rsidRDefault="005C7ADB" w:rsidP="007B579B">
            <w:pPr>
              <w:pStyle w:val="NormalPFM1"/>
              <w:keepNext/>
              <w:rPr>
                <w:strike/>
                <w:noProof/>
                <w:lang w:val="bs-Latn-BA"/>
              </w:rPr>
            </w:pPr>
            <w:r w:rsidRPr="004F7E58">
              <w:rPr>
                <w:lang w:val="bs-Latn-BA"/>
              </w:rPr>
              <w:t>Usvojene su izmjene i dopune Zakona o budžetima. Prije svega, izmjene i dopune omogućava</w:t>
            </w:r>
            <w:r w:rsidR="008E2EE5" w:rsidRPr="004F7E58">
              <w:rPr>
                <w:lang w:val="bs-Latn-BA"/>
              </w:rPr>
              <w:t>ju</w:t>
            </w:r>
            <w:r w:rsidRPr="004F7E58">
              <w:rPr>
                <w:lang w:val="bs-Latn-BA"/>
              </w:rPr>
              <w:t xml:space="preserve"> implementaciju programskog budžeta u potpunosti. Zakon predviđa da FMF osigura pripremu i objavljivanje prijedloga budžeta u programskom formatu 2024. godine,  za 2025. godinu. Za kantone, rok postavljen Zakonom odnosi se na prijedlog za 2027, izrađen u 20</w:t>
            </w:r>
            <w:r w:rsidR="007B579B" w:rsidRPr="004F7E58">
              <w:rPr>
                <w:lang w:val="bs-Latn-BA"/>
              </w:rPr>
              <w:t>26.</w:t>
            </w:r>
            <w:r w:rsidRPr="004F7E58">
              <w:rPr>
                <w:strike/>
                <w:noProof/>
                <w:lang w:val="bs-Latn-BA"/>
              </w:rPr>
              <w:t xml:space="preserve"> </w:t>
            </w:r>
          </w:p>
        </w:tc>
      </w:tr>
    </w:tbl>
    <w:p w14:paraId="135F00BF" w14:textId="1CB0AF84" w:rsidR="00A47809" w:rsidRPr="004F7E58" w:rsidRDefault="00A47809" w:rsidP="00A47809">
      <w:pPr>
        <w:pStyle w:val="NormalPFM1"/>
        <w:rPr>
          <w:lang w:val="bs-Latn-BA"/>
        </w:rPr>
      </w:pPr>
    </w:p>
    <w:p w14:paraId="3EAC5B54" w14:textId="6222B920" w:rsidR="00A47809" w:rsidRPr="004F7E58" w:rsidRDefault="00A47809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</w:rPr>
      </w:pPr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>: I</w:t>
      </w:r>
      <w:r w:rsidR="00B9686F" w:rsidRPr="004F7E58">
        <w:rPr>
          <w:b/>
          <w:i w:val="0"/>
          <w:color w:val="C00000"/>
          <w:sz w:val="24"/>
        </w:rPr>
        <w:t>II</w:t>
      </w:r>
      <w:r w:rsidRPr="004F7E58">
        <w:rPr>
          <w:b/>
          <w:i w:val="0"/>
          <w:color w:val="C00000"/>
          <w:sz w:val="24"/>
        </w:rPr>
        <w:t xml:space="preserve">.2. </w:t>
      </w:r>
      <w:proofErr w:type="spellStart"/>
      <w:r w:rsidR="006E58BD" w:rsidRPr="004F7E58">
        <w:rPr>
          <w:b/>
          <w:i w:val="0"/>
          <w:color w:val="C00000"/>
          <w:sz w:val="24"/>
        </w:rPr>
        <w:t>Proširivanje</w:t>
      </w:r>
      <w:proofErr w:type="spellEnd"/>
      <w:r w:rsidR="006E58B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6E58BD" w:rsidRPr="004F7E58">
        <w:rPr>
          <w:b/>
          <w:i w:val="0"/>
          <w:color w:val="C00000"/>
          <w:sz w:val="24"/>
        </w:rPr>
        <w:t>obuhvata</w:t>
      </w:r>
      <w:proofErr w:type="spellEnd"/>
      <w:r w:rsidR="006E58B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6E58BD" w:rsidRPr="004F7E58">
        <w:rPr>
          <w:b/>
          <w:i w:val="0"/>
          <w:color w:val="C00000"/>
          <w:sz w:val="24"/>
        </w:rPr>
        <w:t>budžeta</w:t>
      </w:r>
      <w:proofErr w:type="spellEnd"/>
      <w:r w:rsidR="006E58B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6E58BD" w:rsidRPr="004F7E58">
        <w:rPr>
          <w:b/>
          <w:i w:val="0"/>
          <w:color w:val="C00000"/>
          <w:sz w:val="24"/>
        </w:rPr>
        <w:t>i</w:t>
      </w:r>
      <w:proofErr w:type="spellEnd"/>
      <w:r w:rsidR="006E58BD" w:rsidRPr="004F7E58">
        <w:rPr>
          <w:b/>
          <w:i w:val="0"/>
          <w:color w:val="C00000"/>
          <w:sz w:val="24"/>
        </w:rPr>
        <w:t xml:space="preserve"> DOB-a</w:t>
      </w:r>
    </w:p>
    <w:p w14:paraId="75388B57" w14:textId="77777777" w:rsidR="00A47809" w:rsidRPr="004F7E58" w:rsidRDefault="00A47809" w:rsidP="00A47809">
      <w:pPr>
        <w:rPr>
          <w:b/>
        </w:rPr>
      </w:pPr>
    </w:p>
    <w:p w14:paraId="1546830B" w14:textId="5CC1D5AB" w:rsidR="00A47809" w:rsidRPr="004F7E58" w:rsidRDefault="00A47809" w:rsidP="00A47809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D6637" w:rsidRPr="004F7E58" w14:paraId="572AB38E" w14:textId="77777777" w:rsidTr="00DC7F97">
        <w:tc>
          <w:tcPr>
            <w:tcW w:w="9350" w:type="dxa"/>
          </w:tcPr>
          <w:p w14:paraId="2634EB11" w14:textId="2C3F9C60" w:rsidR="008D6637" w:rsidRPr="004F7E58" w:rsidRDefault="00A23B97" w:rsidP="00A23B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 xml:space="preserve">U </w:t>
            </w:r>
            <w:r w:rsidR="008D6637" w:rsidRPr="004F7E58">
              <w:rPr>
                <w:noProof/>
                <w:lang w:val="bs-Latn-BA"/>
              </w:rPr>
              <w:t xml:space="preserve">okviru mjere </w:t>
            </w:r>
            <w:r w:rsidRPr="004F7E58">
              <w:rPr>
                <w:noProof/>
                <w:lang w:val="bs-Latn-BA"/>
              </w:rPr>
              <w:t xml:space="preserve">nije bilo </w:t>
            </w:r>
            <w:r w:rsidR="008D6637" w:rsidRPr="004F7E58">
              <w:rPr>
                <w:noProof/>
                <w:lang w:val="bs-Latn-BA"/>
              </w:rPr>
              <w:t>aktivnosti</w:t>
            </w:r>
            <w:r w:rsidRPr="004F7E58">
              <w:rPr>
                <w:noProof/>
                <w:lang w:val="bs-Latn-BA"/>
              </w:rPr>
              <w:t xml:space="preserve"> planiranih za provođenje u 202</w:t>
            </w:r>
            <w:r w:rsidR="006A6529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 godini</w:t>
            </w:r>
            <w:r w:rsidR="006A6529" w:rsidRPr="004F7E58">
              <w:rPr>
                <w:noProof/>
                <w:lang w:val="bs-Latn-BA"/>
              </w:rPr>
              <w:t xml:space="preserve">, međutim jedna aktivnost je u potpunosti završena. </w:t>
            </w:r>
          </w:p>
        </w:tc>
      </w:tr>
      <w:tr w:rsidR="008D6637" w:rsidRPr="004F7E58" w14:paraId="0DC2D07E" w14:textId="77777777" w:rsidTr="00DC7F97">
        <w:tc>
          <w:tcPr>
            <w:tcW w:w="9350" w:type="dxa"/>
          </w:tcPr>
          <w:p w14:paraId="1C373A43" w14:textId="2805586E" w:rsidR="008D6637" w:rsidRPr="004F7E58" w:rsidRDefault="006A6529" w:rsidP="007C1091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Jedan rezultat </w:t>
            </w:r>
            <w:r w:rsidR="0074085B" w:rsidRPr="004F7E58">
              <w:rPr>
                <w:noProof/>
                <w:lang w:val="bs-Latn-BA"/>
              </w:rPr>
              <w:t xml:space="preserve">mjere </w:t>
            </w:r>
            <w:r w:rsidRPr="004F7E58">
              <w:rPr>
                <w:noProof/>
                <w:lang w:val="bs-Latn-BA"/>
              </w:rPr>
              <w:t>je postignut, dok r</w:t>
            </w:r>
            <w:r w:rsidR="008D6637" w:rsidRPr="004F7E58">
              <w:rPr>
                <w:noProof/>
                <w:lang w:val="bs-Latn-BA"/>
              </w:rPr>
              <w:t xml:space="preserve">ok za realizaciju </w:t>
            </w:r>
            <w:r w:rsidRPr="004F7E58">
              <w:rPr>
                <w:noProof/>
                <w:lang w:val="bs-Latn-BA"/>
              </w:rPr>
              <w:t xml:space="preserve">ostalih </w:t>
            </w:r>
            <w:r w:rsidR="00402E85" w:rsidRPr="004F7E58">
              <w:rPr>
                <w:noProof/>
                <w:lang w:val="bs-Latn-BA"/>
              </w:rPr>
              <w:t xml:space="preserve">rezultata mjere </w:t>
            </w:r>
            <w:r w:rsidR="008D6637" w:rsidRPr="004F7E58">
              <w:rPr>
                <w:noProof/>
                <w:lang w:val="bs-Latn-BA"/>
              </w:rPr>
              <w:t xml:space="preserve">nije istekao. </w:t>
            </w:r>
          </w:p>
        </w:tc>
      </w:tr>
    </w:tbl>
    <w:p w14:paraId="5FF70300" w14:textId="77777777" w:rsidR="00A47809" w:rsidRPr="004F7E58" w:rsidRDefault="00A47809" w:rsidP="00A47809"/>
    <w:tbl>
      <w:tblPr>
        <w:tblStyle w:val="TableGrid"/>
        <w:tblW w:w="9475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201"/>
        <w:gridCol w:w="2759"/>
      </w:tblGrid>
      <w:tr w:rsidR="00A47809" w:rsidRPr="004F7E58" w14:paraId="0782F59C" w14:textId="77777777" w:rsidTr="00A23B97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BDB" w14:textId="77777777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C6C4" w14:textId="25FB9A8C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E9B" w14:textId="4A9841ED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1A59F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23B97" w:rsidRPr="004F7E58" w14:paraId="50E4E3F1" w14:textId="77777777" w:rsidTr="004F7E58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A8B" w14:textId="77777777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1B2B" w14:textId="2194FFF2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III.2.1 Unapređenje obuhvata konsolidiranih rashoda svih nivoa vlasti u DOB.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vAlign w:val="center"/>
          </w:tcPr>
          <w:p w14:paraId="7626FDD6" w14:textId="2B77A71B" w:rsidR="00A23B97" w:rsidRPr="004F7E58" w:rsidRDefault="001A59F4" w:rsidP="00A23B97">
            <w:pPr>
              <w:pStyle w:val="NormalPFM1"/>
              <w:keepNext/>
              <w:spacing w:before="40" w:after="40" w:line="240" w:lineRule="auto"/>
              <w:jc w:val="left"/>
              <w:rPr>
                <w:strike/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</w:t>
            </w:r>
            <w:r w:rsidR="00CA4773" w:rsidRPr="004F7E58">
              <w:rPr>
                <w:noProof/>
                <w:lang w:val="bs-Latn-BA"/>
              </w:rPr>
              <w:t>avršena</w:t>
            </w:r>
            <w:r w:rsidRPr="004F7E58">
              <w:rPr>
                <w:noProof/>
                <w:lang w:val="bs-Latn-BA"/>
              </w:rPr>
              <w:t xml:space="preserve"> (nije planirana za 2024)</w:t>
            </w:r>
          </w:p>
        </w:tc>
      </w:tr>
      <w:tr w:rsidR="00A23B97" w:rsidRPr="004F7E58" w14:paraId="60A005BA" w14:textId="77777777" w:rsidTr="001A59F4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F49" w14:textId="77777777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273" w14:textId="7D68ABAD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III.2.A DOB FBiH uključuje informaciju o DOB-u kantona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7A5043B" w14:textId="2FC0F1F6" w:rsidR="00A23B97" w:rsidRPr="004F7E58" w:rsidRDefault="001A59F4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potpuno postignut</w:t>
            </w:r>
          </w:p>
        </w:tc>
      </w:tr>
      <w:tr w:rsidR="00A47809" w:rsidRPr="004F7E58" w14:paraId="7865D732" w14:textId="77777777" w:rsidTr="00A23B97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7608968B" w14:textId="77777777" w:rsidR="00A47809" w:rsidRPr="004F7E58" w:rsidRDefault="00A47809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674FB87F" w14:textId="2F2F1DC2" w:rsidR="00A47809" w:rsidRPr="004F7E58" w:rsidRDefault="00CA4773" w:rsidP="007A2B2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FBIH uklju</w:t>
            </w:r>
            <w:r w:rsidR="001A59F4" w:rsidRPr="004F7E58">
              <w:rPr>
                <w:lang w:val="bs-Latn-BA"/>
              </w:rPr>
              <w:t>č</w:t>
            </w:r>
            <w:r w:rsidRPr="004F7E58">
              <w:rPr>
                <w:lang w:val="bs-Latn-BA"/>
              </w:rPr>
              <w:t>uje projekcije rashoda za srednjoro</w:t>
            </w:r>
            <w:r w:rsidR="001A59F4" w:rsidRPr="004F7E58">
              <w:rPr>
                <w:lang w:val="bs-Latn-BA"/>
              </w:rPr>
              <w:t>č</w:t>
            </w:r>
            <w:r w:rsidRPr="004F7E58">
              <w:rPr>
                <w:lang w:val="bs-Latn-BA"/>
              </w:rPr>
              <w:t xml:space="preserve">ni period i daje se konsolidirani prikaz </w:t>
            </w:r>
            <w:r w:rsidR="001A59F4" w:rsidRPr="004F7E58">
              <w:rPr>
                <w:lang w:val="bs-Latn-BA"/>
              </w:rPr>
              <w:t>z</w:t>
            </w:r>
            <w:r w:rsidRPr="004F7E58">
              <w:rPr>
                <w:lang w:val="bs-Latn-BA"/>
              </w:rPr>
              <w:t xml:space="preserve">a </w:t>
            </w:r>
            <w:r w:rsidR="001A59F4" w:rsidRPr="004F7E58">
              <w:rPr>
                <w:lang w:val="bs-Latn-BA"/>
              </w:rPr>
              <w:t>č</w:t>
            </w:r>
            <w:r w:rsidRPr="004F7E58">
              <w:rPr>
                <w:lang w:val="bs-Latn-BA"/>
              </w:rPr>
              <w:t xml:space="preserve">itavu federaciju. </w:t>
            </w:r>
            <w:r w:rsidR="001A59F4" w:rsidRPr="004F7E58">
              <w:rPr>
                <w:lang w:val="bs-Latn-BA"/>
              </w:rPr>
              <w:t xml:space="preserve">Pristup je modifikovan od prvobitnog plana i FMF smatra da je cilj postignut. </w:t>
            </w:r>
          </w:p>
        </w:tc>
      </w:tr>
    </w:tbl>
    <w:p w14:paraId="75FD8B0D" w14:textId="11FAA99F" w:rsidR="00A47809" w:rsidRPr="004F7E58" w:rsidRDefault="00A47809" w:rsidP="00A47809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3E0F95" w:rsidRPr="004F7E58" w14:paraId="597E14E3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44D0" w14:textId="77777777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9E94" w14:textId="77777777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6463" w14:textId="2DE94FE1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CA4773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CA4773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3E0F95" w:rsidRPr="004F7E58" w14:paraId="7BBD1C01" w14:textId="77777777" w:rsidTr="00F1700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2A05" w14:textId="77777777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EB0" w14:textId="77777777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III.2.2 Proširivanje DOB-a na nivou kantona uključivanjem nižih nivoa vlasti (i fondova)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DACDB" w14:textId="209CF8DF" w:rsidR="003E0F95" w:rsidRPr="004F7E58" w:rsidRDefault="003E0F95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(nije ni predviđeno u </w:t>
            </w:r>
            <w:r w:rsidR="00F6124A" w:rsidRPr="004F7E58">
              <w:rPr>
                <w:noProof/>
                <w:lang w:val="bs-Latn-BA"/>
              </w:rPr>
              <w:t>202</w:t>
            </w:r>
            <w:r w:rsidR="00CA4773"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3E0F95" w:rsidRPr="004F7E58" w14:paraId="5D6876AA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5963" w14:textId="77777777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ABB" w14:textId="77777777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III.2.B DOB kantona se redovno izrađuju i uključuju informacije od fondova i općina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ED183" w14:textId="00A98E42" w:rsidR="003E0F95" w:rsidRPr="004F7E58" w:rsidRDefault="003E0F9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3E0F95" w:rsidRPr="004F7E58" w14:paraId="681ABC46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B9D3D10" w14:textId="77777777" w:rsidR="003E0F95" w:rsidRPr="004F7E58" w:rsidRDefault="003E0F95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2A3C5878" w14:textId="0AF28E38" w:rsidR="003E0F95" w:rsidRPr="004F7E58" w:rsidRDefault="003E0F95" w:rsidP="00A23B97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3BD5FCDC" w14:textId="77777777" w:rsidR="003E0F95" w:rsidRPr="004F7E58" w:rsidRDefault="003E0F95" w:rsidP="00A47809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A47809" w:rsidRPr="004F7E58" w14:paraId="241910DB" w14:textId="77777777" w:rsidTr="00A23B9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7586" w14:textId="77777777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5CA3" w14:textId="7061E9A9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B395" w14:textId="00DD35AB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1A59F4" w:rsidRPr="004F7E58">
              <w:rPr>
                <w:b/>
                <w:noProof/>
                <w:lang w:val="bs-Latn-BA"/>
              </w:rPr>
              <w:t>5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21DFC" w:rsidRPr="004F7E58">
              <w:rPr>
                <w:b/>
                <w:noProof/>
                <w:lang w:val="bs-Latn-BA"/>
              </w:rPr>
              <w:t>5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23B97" w:rsidRPr="004F7E58" w14:paraId="1D65B52F" w14:textId="77777777" w:rsidTr="00A23B9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E19" w14:textId="77777777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DC4C" w14:textId="64DBFECB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III.2.3 Priprema prijedloga budžeta u n+2 formatu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602C9" w14:textId="32B871AB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strike/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E21DFC" w:rsidRPr="004F7E58">
              <w:rPr>
                <w:noProof/>
                <w:lang w:val="bs-Latn-BA"/>
              </w:rPr>
              <w:t>5</w:t>
            </w:r>
            <w:r w:rsidRPr="004F7E58">
              <w:rPr>
                <w:noProof/>
                <w:lang w:val="bs-Latn-BA"/>
              </w:rPr>
              <w:t>.)</w:t>
            </w:r>
          </w:p>
        </w:tc>
      </w:tr>
      <w:tr w:rsidR="00A23B97" w:rsidRPr="004F7E58" w14:paraId="424BECBF" w14:textId="77777777" w:rsidTr="00A23B9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8F95" w14:textId="77777777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3A39" w14:textId="4C4BEE42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III.2.C Budžeti u FBiH se izrađuju u n+2 formatu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7502E" w14:textId="51990D0E" w:rsidR="00A23B97" w:rsidRPr="004F7E58" w:rsidRDefault="00A23B97" w:rsidP="00A23B97">
            <w:pPr>
              <w:pStyle w:val="NormalPFM1"/>
              <w:keepNext/>
              <w:spacing w:before="40" w:after="40" w:line="240" w:lineRule="auto"/>
              <w:jc w:val="left"/>
              <w:rPr>
                <w:strike/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A47809" w:rsidRPr="004F7E58" w14:paraId="7CD98F5A" w14:textId="77777777" w:rsidTr="00A23B9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75C634EC" w14:textId="77777777" w:rsidR="00A47809" w:rsidRPr="004F7E58" w:rsidRDefault="00A47809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64414AB" w14:textId="6F5DC604" w:rsidR="00A47809" w:rsidRPr="004F7E58" w:rsidRDefault="00A47809" w:rsidP="007A2B21">
            <w:pPr>
              <w:pStyle w:val="NormalPFM1"/>
              <w:keepNext/>
              <w:rPr>
                <w:lang w:val="bs-Latn-BA"/>
              </w:rPr>
            </w:pPr>
          </w:p>
        </w:tc>
      </w:tr>
    </w:tbl>
    <w:p w14:paraId="415D687B" w14:textId="77777777" w:rsidR="00A47809" w:rsidRPr="004F7E58" w:rsidRDefault="00A47809" w:rsidP="00A47809">
      <w:pPr>
        <w:pStyle w:val="NormalPFM1"/>
        <w:rPr>
          <w:lang w:val="bs-Latn-BA"/>
        </w:rPr>
      </w:pPr>
    </w:p>
    <w:p w14:paraId="377E0908" w14:textId="5BABCD58" w:rsidR="00A47809" w:rsidRPr="004F7E58" w:rsidRDefault="00A47809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sz w:val="24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 xml:space="preserve">MJERA: </w:t>
      </w:r>
      <w:r w:rsidR="00B9686F" w:rsidRPr="004F7E58">
        <w:rPr>
          <w:b/>
          <w:i w:val="0"/>
          <w:color w:val="C00000"/>
          <w:sz w:val="24"/>
          <w:lang w:val="bs-Latn-BA"/>
        </w:rPr>
        <w:t>II</w:t>
      </w:r>
      <w:r w:rsidRPr="004F7E58">
        <w:rPr>
          <w:b/>
          <w:i w:val="0"/>
          <w:color w:val="C00000"/>
          <w:sz w:val="24"/>
          <w:lang w:val="bs-Latn-BA"/>
        </w:rPr>
        <w:t xml:space="preserve">I.3. </w:t>
      </w:r>
      <w:r w:rsidR="007848A2" w:rsidRPr="004F7E58">
        <w:rPr>
          <w:b/>
          <w:i w:val="0"/>
          <w:color w:val="C00000"/>
          <w:sz w:val="24"/>
          <w:lang w:val="bs-Latn-BA"/>
        </w:rPr>
        <w:t>Uključiti vanbudžetske fondove i direkcije za puteve u budžete</w:t>
      </w:r>
    </w:p>
    <w:p w14:paraId="792D4348" w14:textId="77777777" w:rsidR="00A47809" w:rsidRPr="004F7E58" w:rsidRDefault="00A47809" w:rsidP="00A47809">
      <w:pPr>
        <w:rPr>
          <w:b/>
          <w:lang w:val="bs-Latn-BA"/>
        </w:rPr>
      </w:pPr>
    </w:p>
    <w:p w14:paraId="587B1704" w14:textId="61CD5DF7" w:rsidR="00A47809" w:rsidRPr="004F7E58" w:rsidRDefault="00A47809" w:rsidP="00A47809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1699" w:rsidRPr="004F7E58" w14:paraId="50806B93" w14:textId="77777777" w:rsidTr="00DC7F97">
        <w:tc>
          <w:tcPr>
            <w:tcW w:w="9350" w:type="dxa"/>
          </w:tcPr>
          <w:p w14:paraId="2EC82D59" w14:textId="02B83B48" w:rsidR="00D51699" w:rsidRPr="004F7E58" w:rsidRDefault="00D51699" w:rsidP="00DC7F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en-US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ove mjere planiran </w:t>
            </w:r>
            <w:r w:rsidR="006A6529" w:rsidRPr="004F7E58">
              <w:rPr>
                <w:noProof/>
                <w:lang w:val="bs-Latn-BA"/>
              </w:rPr>
              <w:t xml:space="preserve">je </w:t>
            </w:r>
            <w:r w:rsidRPr="004F7E58">
              <w:rPr>
                <w:noProof/>
                <w:lang w:val="bs-Latn-BA"/>
              </w:rPr>
              <w:t>početak jedne aktivnosti</w:t>
            </w:r>
            <w:r w:rsidR="0074085B" w:rsidRPr="004F7E58">
              <w:rPr>
                <w:noProof/>
                <w:lang w:val="bs-Latn-BA"/>
              </w:rPr>
              <w:t xml:space="preserve"> koja je u toku</w:t>
            </w:r>
            <w:r w:rsidRPr="004F7E58">
              <w:rPr>
                <w:noProof/>
                <w:lang w:val="bs-Latn-BA"/>
              </w:rPr>
              <w:t xml:space="preserve">. </w:t>
            </w:r>
          </w:p>
        </w:tc>
      </w:tr>
      <w:tr w:rsidR="00D51699" w:rsidRPr="004F7E58" w14:paraId="7D34599B" w14:textId="77777777" w:rsidTr="00DC7F97">
        <w:trPr>
          <w:trHeight w:val="135"/>
        </w:trPr>
        <w:tc>
          <w:tcPr>
            <w:tcW w:w="9350" w:type="dxa"/>
          </w:tcPr>
          <w:p w14:paraId="69ABC1BD" w14:textId="608DD18D" w:rsidR="00D51699" w:rsidRPr="004F7E58" w:rsidRDefault="0074085B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Jedan rezultat mjere je djelomično ostvaren dok r</w:t>
            </w:r>
            <w:r w:rsidR="00D51699" w:rsidRPr="004F7E58">
              <w:rPr>
                <w:noProof/>
                <w:lang w:val="bs-Latn-BA"/>
              </w:rPr>
              <w:t xml:space="preserve">ok za realizaciju </w:t>
            </w:r>
            <w:r w:rsidRPr="004F7E58">
              <w:rPr>
                <w:noProof/>
                <w:lang w:val="bs-Latn-BA"/>
              </w:rPr>
              <w:t xml:space="preserve">drugog rezultata mjere </w:t>
            </w:r>
            <w:r w:rsidR="00D51699" w:rsidRPr="004F7E58">
              <w:rPr>
                <w:noProof/>
                <w:lang w:val="bs-Latn-BA"/>
              </w:rPr>
              <w:t xml:space="preserve">još nije istekao. </w:t>
            </w:r>
          </w:p>
        </w:tc>
      </w:tr>
    </w:tbl>
    <w:p w14:paraId="2A797E0C" w14:textId="7D151A35" w:rsidR="00A47809" w:rsidRPr="004F7E58" w:rsidRDefault="00A47809" w:rsidP="00A47809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F35E0E" w:rsidRPr="004F7E58" w14:paraId="3F8BA547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C250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7324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47D" w14:textId="16531DBE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A652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A652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F35E0E" w:rsidRPr="004F7E58" w14:paraId="1B25A565" w14:textId="77777777" w:rsidTr="00F1700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4C6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3EC" w14:textId="3EC25A8E" w:rsidR="00F35E0E" w:rsidRPr="004F7E58" w:rsidRDefault="00A74A3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III.3.1 Uključivanje vanbudžetskih fondova na nivou Federacije BiH u Budžet Federacije BiH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EF1C" w14:textId="2066B1B6" w:rsidR="00F35E0E" w:rsidRPr="004F7E58" w:rsidRDefault="00F35E0E" w:rsidP="004B626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(nije ni predviđeno u </w:t>
            </w:r>
            <w:r w:rsidR="00F6124A" w:rsidRPr="004F7E58">
              <w:rPr>
                <w:noProof/>
                <w:lang w:val="bs-Latn-BA"/>
              </w:rPr>
              <w:t>202</w:t>
            </w:r>
            <w:r w:rsidR="006A6529"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F35E0E" w:rsidRPr="004F7E58" w14:paraId="66EB20A4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B38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D2CF" w14:textId="3F1C98F3" w:rsidR="00F35E0E" w:rsidRPr="004F7E58" w:rsidRDefault="00A74A37" w:rsidP="00A74A37">
            <w:pPr>
              <w:pStyle w:val="NormalPFM1"/>
              <w:keepNext/>
              <w:spacing w:before="40" w:after="40" w:line="240" w:lineRule="auto"/>
              <w:ind w:left="247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III.3.A FBiH fond za zapošljavanje je dio budžeta i FBiH fond za zdravstvo je dio budžeta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A3EE2" w14:textId="1E57F4A6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F35E0E" w:rsidRPr="004F7E58" w14:paraId="72F6063C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65502ACA" w14:textId="77777777" w:rsidR="00F35E0E" w:rsidRPr="004F7E58" w:rsidRDefault="00F35E0E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F866C50" w14:textId="7B828807" w:rsidR="00F35E0E" w:rsidRPr="004F7E58" w:rsidRDefault="00F35E0E" w:rsidP="004B626B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2D9B693A" w14:textId="635A2F72" w:rsidR="00F35E0E" w:rsidRPr="004F7E58" w:rsidRDefault="00F35E0E" w:rsidP="00A47809">
      <w:pPr>
        <w:pStyle w:val="NormalPFM1"/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F35E0E" w:rsidRPr="004F7E58" w14:paraId="01278E14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FFB8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AD2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3DE0" w14:textId="349ACB5C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F35E0E" w:rsidRPr="004F7E58" w14:paraId="1F5D6ECF" w14:textId="77777777" w:rsidTr="00A0604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3542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1452" w14:textId="69F5516C" w:rsidR="00F35E0E" w:rsidRPr="004F7E58" w:rsidRDefault="00A74A3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III.3.2 Na nivou kantona uključiti vanbudžetske fondove, direkcije za puteve i visokoškolske ustanove u budžete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126FF2" w14:textId="0B1E5291" w:rsidR="00F35E0E" w:rsidRPr="004F7E58" w:rsidRDefault="00A0604C" w:rsidP="004B626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toku</w:t>
            </w:r>
          </w:p>
        </w:tc>
      </w:tr>
      <w:tr w:rsidR="00F35E0E" w:rsidRPr="004F7E58" w14:paraId="384523AC" w14:textId="77777777" w:rsidTr="00A0604C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B125" w14:textId="77777777" w:rsidR="00F35E0E" w:rsidRPr="004F7E58" w:rsidRDefault="00F35E0E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D041" w14:textId="7129184B" w:rsidR="00F35E0E" w:rsidRPr="004F7E58" w:rsidRDefault="00A74A37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III.3.B Kantoni uključuju fondove i direkcije za ceste u budžet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6A121A" w14:textId="65A51C77" w:rsidR="00F35E0E" w:rsidRPr="004F7E58" w:rsidRDefault="00A0604C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F35E0E" w:rsidRPr="004F7E58" w14:paraId="6C4E6C3C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F76481D" w14:textId="77777777" w:rsidR="00F35E0E" w:rsidRPr="004F7E58" w:rsidRDefault="00F35E0E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7B95715" w14:textId="5E0416B4" w:rsidR="00F35E0E" w:rsidRPr="004F7E58" w:rsidRDefault="00505A15" w:rsidP="004B626B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Kanton Sarajevo je uključio visokološ</w:t>
            </w:r>
            <w:r w:rsidR="006A6529" w:rsidRPr="004F7E58">
              <w:rPr>
                <w:noProof/>
                <w:lang w:val="bs-Latn-BA"/>
              </w:rPr>
              <w:t>kol</w:t>
            </w:r>
            <w:r w:rsidRPr="004F7E58">
              <w:rPr>
                <w:noProof/>
                <w:lang w:val="bs-Latn-BA"/>
              </w:rPr>
              <w:t>ske ustanove</w:t>
            </w:r>
            <w:r w:rsidR="00A0604C" w:rsidRPr="004F7E58">
              <w:rPr>
                <w:noProof/>
                <w:lang w:val="bs-Latn-BA"/>
              </w:rPr>
              <w:t xml:space="preserve"> u svoj budžet. Detaljan pregled situacije po kantonima je planiran u kasnijem periodu.</w:t>
            </w:r>
          </w:p>
        </w:tc>
      </w:tr>
    </w:tbl>
    <w:p w14:paraId="4DD59A91" w14:textId="77777777" w:rsidR="00F35E0E" w:rsidRPr="004F7E58" w:rsidRDefault="00F35E0E" w:rsidP="00A47809">
      <w:pPr>
        <w:pStyle w:val="NormalPFM1"/>
        <w:rPr>
          <w:lang w:val="bs-Latn-BA"/>
        </w:rPr>
      </w:pPr>
    </w:p>
    <w:p w14:paraId="11E56DED" w14:textId="017D0DD0" w:rsidR="00A47809" w:rsidRPr="004F7E58" w:rsidRDefault="00A47809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lang w:val="fr-FR"/>
        </w:rPr>
      </w:pPr>
      <w:proofErr w:type="spellStart"/>
      <w:proofErr w:type="gramStart"/>
      <w:r w:rsidRPr="004F7E58">
        <w:rPr>
          <w:b/>
          <w:i w:val="0"/>
          <w:color w:val="C00000"/>
          <w:lang w:val="fr-FR"/>
        </w:rPr>
        <w:t>MJERA</w:t>
      </w:r>
      <w:proofErr w:type="spellEnd"/>
      <w:r w:rsidRPr="004F7E58">
        <w:rPr>
          <w:b/>
          <w:i w:val="0"/>
          <w:color w:val="C00000"/>
          <w:lang w:val="fr-FR"/>
        </w:rPr>
        <w:t>:</w:t>
      </w:r>
      <w:proofErr w:type="gramEnd"/>
      <w:r w:rsidRPr="004F7E58">
        <w:rPr>
          <w:b/>
          <w:i w:val="0"/>
          <w:color w:val="C00000"/>
          <w:lang w:val="fr-FR"/>
        </w:rPr>
        <w:t xml:space="preserve"> </w:t>
      </w:r>
      <w:r w:rsidR="00B9686F" w:rsidRPr="004F7E58">
        <w:rPr>
          <w:b/>
          <w:i w:val="0"/>
          <w:color w:val="C00000"/>
          <w:lang w:val="fr-FR"/>
        </w:rPr>
        <w:t>II</w:t>
      </w:r>
      <w:r w:rsidRPr="004F7E58">
        <w:rPr>
          <w:b/>
          <w:i w:val="0"/>
          <w:color w:val="C00000"/>
          <w:lang w:val="fr-FR"/>
        </w:rPr>
        <w:t xml:space="preserve">I.4. </w:t>
      </w:r>
      <w:proofErr w:type="spellStart"/>
      <w:r w:rsidR="008F68B2" w:rsidRPr="004F7E58">
        <w:rPr>
          <w:b/>
          <w:i w:val="0"/>
          <w:color w:val="C00000"/>
          <w:sz w:val="24"/>
          <w:lang w:val="fr-FR"/>
        </w:rPr>
        <w:t>Unapređenje</w:t>
      </w:r>
      <w:proofErr w:type="spellEnd"/>
      <w:r w:rsidR="008F68B2" w:rsidRPr="004F7E58">
        <w:rPr>
          <w:b/>
          <w:i w:val="0"/>
          <w:color w:val="C00000"/>
          <w:sz w:val="24"/>
          <w:lang w:val="fr-FR"/>
        </w:rPr>
        <w:t xml:space="preserve"> </w:t>
      </w:r>
      <w:proofErr w:type="spellStart"/>
      <w:r w:rsidR="008F68B2" w:rsidRPr="004F7E58">
        <w:rPr>
          <w:b/>
          <w:i w:val="0"/>
          <w:color w:val="C00000"/>
          <w:sz w:val="24"/>
          <w:lang w:val="fr-FR"/>
        </w:rPr>
        <w:t>budžetiranja</w:t>
      </w:r>
      <w:proofErr w:type="spellEnd"/>
      <w:r w:rsidR="008F68B2" w:rsidRPr="004F7E58">
        <w:rPr>
          <w:b/>
          <w:i w:val="0"/>
          <w:color w:val="C00000"/>
          <w:sz w:val="24"/>
          <w:lang w:val="fr-FR"/>
        </w:rPr>
        <w:t xml:space="preserve"> u </w:t>
      </w:r>
      <w:proofErr w:type="spellStart"/>
      <w:r w:rsidR="008F68B2" w:rsidRPr="004F7E58">
        <w:rPr>
          <w:b/>
          <w:i w:val="0"/>
          <w:color w:val="C00000"/>
          <w:sz w:val="24"/>
          <w:lang w:val="fr-FR"/>
        </w:rPr>
        <w:t>programskom</w:t>
      </w:r>
      <w:proofErr w:type="spellEnd"/>
      <w:r w:rsidR="008F68B2" w:rsidRPr="004F7E58">
        <w:rPr>
          <w:b/>
          <w:i w:val="0"/>
          <w:color w:val="C00000"/>
          <w:sz w:val="24"/>
          <w:lang w:val="fr-FR"/>
        </w:rPr>
        <w:t xml:space="preserve"> </w:t>
      </w:r>
      <w:proofErr w:type="spellStart"/>
      <w:r w:rsidR="008F68B2" w:rsidRPr="004F7E58">
        <w:rPr>
          <w:b/>
          <w:i w:val="0"/>
          <w:color w:val="C00000"/>
          <w:sz w:val="24"/>
          <w:lang w:val="fr-FR"/>
        </w:rPr>
        <w:t>formatu</w:t>
      </w:r>
      <w:proofErr w:type="spellEnd"/>
    </w:p>
    <w:p w14:paraId="29B6CF3A" w14:textId="77777777" w:rsidR="00A47809" w:rsidRPr="004F7E58" w:rsidRDefault="00A47809" w:rsidP="00A47809">
      <w:pPr>
        <w:rPr>
          <w:b/>
          <w:lang w:val="fr-FR"/>
        </w:rPr>
      </w:pPr>
    </w:p>
    <w:p w14:paraId="6538AB66" w14:textId="54227BDD" w:rsidR="00A47809" w:rsidRPr="004F7E58" w:rsidRDefault="00A47809" w:rsidP="00A47809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24EAE" w:rsidRPr="004F7E58" w14:paraId="6A3FB01E" w14:textId="77777777" w:rsidTr="00DC7F97">
        <w:tc>
          <w:tcPr>
            <w:tcW w:w="9350" w:type="dxa"/>
          </w:tcPr>
          <w:p w14:paraId="715879A5" w14:textId="57DC68CD" w:rsidR="00624EAE" w:rsidRPr="004F7E58" w:rsidRDefault="00624EA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U izvještajnom periodu u okviru mjere planiran</w:t>
            </w:r>
            <w:r w:rsidR="004A054A" w:rsidRPr="004F7E58">
              <w:rPr>
                <w:noProof/>
                <w:lang w:val="bs-Latn-BA"/>
              </w:rPr>
              <w:t>a je jedna aktivnost koja je u toku</w:t>
            </w:r>
            <w:r w:rsidR="00381EFC" w:rsidRPr="004F7E58">
              <w:rPr>
                <w:noProof/>
                <w:lang w:val="bs-Latn-BA"/>
              </w:rPr>
              <w:t xml:space="preserve">. </w:t>
            </w:r>
            <w:r w:rsidR="00EE5395" w:rsidRPr="004F7E58">
              <w:rPr>
                <w:noProof/>
                <w:lang w:val="bs-Latn-BA"/>
              </w:rPr>
              <w:t xml:space="preserve">Jedna aktivnost je završena u izvještajnom periodu a pet </w:t>
            </w:r>
            <w:r w:rsidR="00381EFC" w:rsidRPr="004F7E58">
              <w:rPr>
                <w:noProof/>
                <w:lang w:val="bs-Latn-BA"/>
              </w:rPr>
              <w:t>aktivnost</w:t>
            </w:r>
            <w:r w:rsidR="002F15A8" w:rsidRPr="004F7E58">
              <w:rPr>
                <w:noProof/>
                <w:lang w:val="bs-Latn-BA"/>
              </w:rPr>
              <w:t>i</w:t>
            </w:r>
            <w:r w:rsidR="00381EFC" w:rsidRPr="004F7E58">
              <w:rPr>
                <w:noProof/>
                <w:lang w:val="bs-Latn-BA"/>
              </w:rPr>
              <w:t xml:space="preserve"> </w:t>
            </w:r>
            <w:r w:rsidR="002F15A8" w:rsidRPr="004F7E58">
              <w:rPr>
                <w:noProof/>
                <w:lang w:val="bs-Latn-BA"/>
              </w:rPr>
              <w:t>su završene</w:t>
            </w:r>
            <w:r w:rsidR="00EE5395" w:rsidRPr="004F7E58">
              <w:rPr>
                <w:noProof/>
                <w:lang w:val="bs-Latn-BA"/>
              </w:rPr>
              <w:t xml:space="preserve"> u ranije periodu</w:t>
            </w:r>
            <w:r w:rsidR="00402E85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 xml:space="preserve"> </w:t>
            </w:r>
            <w:r w:rsidR="00EE5395" w:rsidRPr="004F7E58">
              <w:rPr>
                <w:noProof/>
                <w:lang w:val="bs-Latn-BA"/>
              </w:rPr>
              <w:t xml:space="preserve"> Jedna aktivnosti nije bila u planu za implementaciju u 2024. godini.</w:t>
            </w:r>
          </w:p>
        </w:tc>
      </w:tr>
      <w:tr w:rsidR="00624EAE" w:rsidRPr="004F7E58" w14:paraId="4551C281" w14:textId="77777777" w:rsidTr="00DC7F97">
        <w:tc>
          <w:tcPr>
            <w:tcW w:w="9350" w:type="dxa"/>
          </w:tcPr>
          <w:p w14:paraId="28544E6F" w14:textId="11C924B3" w:rsidR="00624EAE" w:rsidRPr="004F7E58" w:rsidRDefault="0053002A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lastRenderedPageBreak/>
              <w:t xml:space="preserve">Djelomično je ostvaren rezultat mjere koji se odnosi na </w:t>
            </w:r>
            <w:r w:rsidR="002F15A8" w:rsidRPr="004F7E58">
              <w:rPr>
                <w:noProof/>
                <w:lang w:val="bs-Latn-BA"/>
              </w:rPr>
              <w:t xml:space="preserve">zakonski </w:t>
            </w:r>
            <w:r w:rsidRPr="004F7E58">
              <w:rPr>
                <w:noProof/>
                <w:lang w:val="bs-Latn-BA"/>
              </w:rPr>
              <w:t>okvir za programski budžet</w:t>
            </w:r>
            <w:r w:rsidR="002F15A8" w:rsidRPr="004F7E58">
              <w:rPr>
                <w:noProof/>
                <w:lang w:val="bs-Latn-BA"/>
              </w:rPr>
              <w:t xml:space="preserve"> (smatrat će se konačnim sa usvajanjem budžeta u programskom formatu prema zakonskim rokovima)</w:t>
            </w:r>
            <w:r w:rsidRPr="004F7E58">
              <w:rPr>
                <w:noProof/>
                <w:lang w:val="bs-Latn-BA"/>
              </w:rPr>
              <w:t xml:space="preserve">. </w:t>
            </w:r>
            <w:r w:rsidR="00405FCA" w:rsidRPr="004F7E58">
              <w:rPr>
                <w:noProof/>
                <w:lang w:val="bs-Latn-BA"/>
              </w:rPr>
              <w:t>Isti rezultat mjere se odnosi na dodatnih pet aktivnosti</w:t>
            </w:r>
            <w:r w:rsidRPr="004F7E58">
              <w:rPr>
                <w:noProof/>
                <w:lang w:val="bs-Latn-BA"/>
              </w:rPr>
              <w:t xml:space="preserve">. </w:t>
            </w:r>
            <w:r w:rsidR="00DF6E51" w:rsidRPr="004F7E58">
              <w:rPr>
                <w:noProof/>
                <w:lang w:val="bs-Latn-BA"/>
              </w:rPr>
              <w:t xml:space="preserve">Jedan rezultat mjere je djelomično postignut (jačanje kadrovskih kapaciteta Sektora za budžet FMF), a za jedan </w:t>
            </w:r>
            <w:r w:rsidRPr="004F7E58">
              <w:rPr>
                <w:noProof/>
                <w:lang w:val="bs-Latn-BA"/>
              </w:rPr>
              <w:t xml:space="preserve">rezultat mjere </w:t>
            </w:r>
            <w:r w:rsidR="00624EAE" w:rsidRPr="004F7E58">
              <w:rPr>
                <w:noProof/>
                <w:lang w:val="bs-Latn-BA"/>
              </w:rPr>
              <w:t xml:space="preserve"> rok za realizaciju još nije istekao. </w:t>
            </w:r>
          </w:p>
        </w:tc>
      </w:tr>
    </w:tbl>
    <w:p w14:paraId="19A6BD70" w14:textId="3D684F6E" w:rsidR="00624EAE" w:rsidRPr="004F7E58" w:rsidRDefault="00624EAE" w:rsidP="00A47809">
      <w:pPr>
        <w:rPr>
          <w:b/>
          <w:lang w:val="bs-Latn-BA"/>
        </w:rPr>
      </w:pPr>
    </w:p>
    <w:p w14:paraId="65BBFE02" w14:textId="77777777" w:rsidR="00381EFC" w:rsidRPr="004F7E58" w:rsidRDefault="00381EFC" w:rsidP="00A47809">
      <w:pPr>
        <w:rPr>
          <w:b/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A74A37" w:rsidRPr="004F7E58" w14:paraId="397915F0" w14:textId="77777777" w:rsidTr="008E4E2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11D" w14:textId="77777777" w:rsidR="00A74A37" w:rsidRPr="004F7E58" w:rsidRDefault="00A74A37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B046" w14:textId="77777777" w:rsidR="00A74A37" w:rsidRPr="004F7E58" w:rsidRDefault="00A74A3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45FE" w14:textId="0DBD9F3C" w:rsidR="00A74A37" w:rsidRPr="004F7E58" w:rsidRDefault="00A74A3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74A37" w:rsidRPr="004F7E58" w14:paraId="28320A59" w14:textId="77777777" w:rsidTr="008E4E2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6AE8" w14:textId="77777777" w:rsidR="00A74A37" w:rsidRPr="004F7E58" w:rsidRDefault="00A74A3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3480" w14:textId="5985D205" w:rsidR="00A74A37" w:rsidRPr="004F7E58" w:rsidRDefault="008155F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III.4.1 Jačanje kadrovskih kapaciteta Sektora za budžet i javne rashode Federalnog ministarstva finansija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57F3D4" w14:textId="4EDCA835" w:rsidR="00A74A37" w:rsidRPr="004F7E58" w:rsidRDefault="00A0604C" w:rsidP="0074306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toku</w:t>
            </w:r>
            <w:r w:rsidR="00505A15" w:rsidRPr="004F7E58">
              <w:rPr>
                <w:noProof/>
                <w:lang w:val="bs-Latn-BA"/>
              </w:rPr>
              <w:t xml:space="preserve"> </w:t>
            </w:r>
          </w:p>
        </w:tc>
      </w:tr>
      <w:tr w:rsidR="008E4E27" w:rsidRPr="004F7E58" w14:paraId="57FE6899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B567" w14:textId="77777777" w:rsidR="008E4E27" w:rsidRPr="004F7E58" w:rsidRDefault="008E4E27" w:rsidP="008E4E2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E551" w14:textId="4C51A69D" w:rsidR="008E4E27" w:rsidRPr="004F7E58" w:rsidRDefault="008E4E27" w:rsidP="008E4E2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III.4.A Ojačani kadrovski kapaciteti Sektora za budžet FMF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F43767" w14:textId="3FDA4210" w:rsidR="008E4E27" w:rsidRPr="004F7E58" w:rsidRDefault="008E4E27" w:rsidP="008E4E2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Rezultat je djelimično postignut </w:t>
            </w:r>
          </w:p>
        </w:tc>
      </w:tr>
      <w:tr w:rsidR="00A74A37" w:rsidRPr="004F7E58" w14:paraId="4D72133B" w14:textId="77777777" w:rsidTr="008E4E2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5FF8AED" w14:textId="77777777" w:rsidR="00A74A37" w:rsidRPr="004F7E58" w:rsidRDefault="00A74A37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7817BAA" w14:textId="5C04C5B5" w:rsidR="00A74A37" w:rsidRPr="004F7E58" w:rsidRDefault="00505A15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Zaposlene su dvije osobe u Sektor za </w:t>
            </w:r>
            <w:r w:rsidR="00DF6E51" w:rsidRPr="004F7E58">
              <w:rPr>
                <w:noProof/>
                <w:lang w:val="bs-Latn-BA"/>
              </w:rPr>
              <w:t>budžet</w:t>
            </w:r>
            <w:r w:rsidRPr="004F7E58">
              <w:rPr>
                <w:noProof/>
                <w:lang w:val="bs-Latn-BA"/>
              </w:rPr>
              <w:t xml:space="preserve">. Planira se dalje zapošljavanje u budžetu. </w:t>
            </w:r>
          </w:p>
        </w:tc>
      </w:tr>
    </w:tbl>
    <w:p w14:paraId="2AF904F3" w14:textId="77777777" w:rsidR="00A74A37" w:rsidRPr="004F7E58" w:rsidRDefault="00A74A37" w:rsidP="00A47809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A47809" w:rsidRPr="004F7E58" w14:paraId="7F7163BD" w14:textId="77777777" w:rsidTr="004A054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633" w14:textId="77777777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DA45" w14:textId="29BE6B46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5770" w14:textId="0EE3DA75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4A054A" w:rsidRPr="004F7E58" w14:paraId="7DE8A331" w14:textId="77777777" w:rsidTr="004A054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3D6" w14:textId="77777777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5B0E" w14:textId="5349AD97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III.4.2  Izmjene podzakonskih akata za primjenu programskog budžetiranja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60AF868" w14:textId="30BD2169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2022. godini</w:t>
            </w:r>
          </w:p>
        </w:tc>
      </w:tr>
      <w:tr w:rsidR="004A054A" w:rsidRPr="004F7E58" w14:paraId="08DE6C15" w14:textId="77777777" w:rsidTr="00E0758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0D7" w14:textId="77777777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A3A1" w14:textId="67F7371C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III.4.B Programski budžet usvojen i objavljen na nivou FBiH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F722410" w14:textId="50746DDE" w:rsidR="004A054A" w:rsidRPr="004F7E58" w:rsidRDefault="00E07589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</w:t>
            </w:r>
            <w:r w:rsidR="008E4E27" w:rsidRPr="004F7E58">
              <w:rPr>
                <w:noProof/>
                <w:lang w:val="bs-Latn-BA"/>
              </w:rPr>
              <w:t>u</w:t>
            </w:r>
            <w:r w:rsidRPr="004F7E58">
              <w:rPr>
                <w:noProof/>
                <w:lang w:val="bs-Latn-BA"/>
              </w:rPr>
              <w:t>ltat je djelimično postign</w:t>
            </w:r>
            <w:r w:rsidR="008E4E27" w:rsidRPr="004F7E58">
              <w:rPr>
                <w:noProof/>
                <w:lang w:val="bs-Latn-BA"/>
              </w:rPr>
              <w:t>u</w:t>
            </w:r>
            <w:r w:rsidRPr="004F7E58">
              <w:rPr>
                <w:noProof/>
                <w:lang w:val="bs-Latn-BA"/>
              </w:rPr>
              <w:t>t</w:t>
            </w:r>
            <w:r w:rsidR="004A054A" w:rsidRPr="004F7E58">
              <w:rPr>
                <w:noProof/>
                <w:lang w:val="bs-Latn-BA"/>
              </w:rPr>
              <w:t xml:space="preserve"> </w:t>
            </w:r>
          </w:p>
        </w:tc>
      </w:tr>
      <w:tr w:rsidR="00A47809" w:rsidRPr="004F7E58" w14:paraId="53FA157A" w14:textId="77777777" w:rsidTr="004A054A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7E51541" w14:textId="77777777" w:rsidR="00A47809" w:rsidRPr="004F7E58" w:rsidRDefault="00A47809" w:rsidP="00D9717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5FD5D89" w14:textId="346C2676" w:rsidR="00A47809" w:rsidRPr="004F7E58" w:rsidRDefault="0001741B" w:rsidP="007A2B21">
            <w:pPr>
              <w:pStyle w:val="NormalPFM1"/>
              <w:keepNext/>
              <w:rPr>
                <w:strike/>
                <w:lang w:val="bs-Latn-BA"/>
              </w:rPr>
            </w:pPr>
            <w:r w:rsidRPr="004F7E58">
              <w:rPr>
                <w:lang w:val="bs-Latn-BA"/>
              </w:rPr>
              <w:t xml:space="preserve">Izmjenama zakona stvoreni su svi zakonski preduslovi za pripremu, razmatranje i objavljivanje budžeta u programskom formatu, čime je ova aktivnost završena. </w:t>
            </w:r>
            <w:r w:rsidR="0074306D" w:rsidRPr="004F7E58">
              <w:rPr>
                <w:lang w:val="bs-Latn-BA"/>
              </w:rPr>
              <w:t xml:space="preserve">Izrađen je priručnik za programsko budžetiranje. </w:t>
            </w:r>
          </w:p>
        </w:tc>
      </w:tr>
    </w:tbl>
    <w:p w14:paraId="3C16D8D0" w14:textId="5829F37B" w:rsidR="00A47809" w:rsidRPr="004F7E58" w:rsidRDefault="00A47809" w:rsidP="00A47809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A47809" w:rsidRPr="004F7E58" w14:paraId="24A243D0" w14:textId="77777777" w:rsidTr="0034198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831" w14:textId="77777777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778" w14:textId="15429D30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E00" w14:textId="394BA882" w:rsidR="00A47809" w:rsidRPr="004F7E58" w:rsidRDefault="00A47809" w:rsidP="00D97174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95380C" w:rsidRPr="004F7E58" w14:paraId="3E269270" w14:textId="77777777" w:rsidTr="00E0758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5ED" w14:textId="77777777" w:rsidR="0095380C" w:rsidRPr="004F7E58" w:rsidRDefault="0095380C" w:rsidP="0095380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53E4" w14:textId="48A25B80" w:rsidR="0095380C" w:rsidRPr="004F7E58" w:rsidRDefault="0095380C" w:rsidP="0095380C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III.4.3 Priprema metodologije integrisanog sistema bud</w:t>
            </w:r>
            <w:r w:rsidR="00381EFC" w:rsidRPr="004F7E58">
              <w:rPr>
                <w:noProof/>
                <w:lang w:val="bs-Latn-BA"/>
              </w:rPr>
              <w:t>ž</w:t>
            </w:r>
            <w:r w:rsidRPr="004F7E58">
              <w:rPr>
                <w:noProof/>
                <w:lang w:val="bs-Latn-BA"/>
              </w:rPr>
              <w:t>etskog planiranja vezano za javne politike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3A0D8C" w14:textId="743F906F" w:rsidR="0095380C" w:rsidRPr="004F7E58" w:rsidRDefault="00E07589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</w:t>
            </w:r>
            <w:r w:rsidR="00174398" w:rsidRPr="004F7E58">
              <w:rPr>
                <w:noProof/>
                <w:lang w:val="bs-Latn-BA"/>
              </w:rPr>
              <w:t xml:space="preserve"> (predviđeno u </w:t>
            </w:r>
            <w:r w:rsidR="00E20FBF" w:rsidRPr="004F7E58">
              <w:rPr>
                <w:noProof/>
                <w:lang w:val="bs-Latn-BA"/>
              </w:rPr>
              <w:t>2024.</w:t>
            </w:r>
            <w:r w:rsidR="00174398" w:rsidRPr="004F7E58">
              <w:rPr>
                <w:noProof/>
                <w:lang w:val="bs-Latn-BA"/>
              </w:rPr>
              <w:t>)</w:t>
            </w:r>
          </w:p>
        </w:tc>
      </w:tr>
      <w:tr w:rsidR="0001741B" w:rsidRPr="004F7E58" w14:paraId="7B1B24DF" w14:textId="77777777" w:rsidTr="00E0758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D80" w14:textId="77777777" w:rsidR="0001741B" w:rsidRPr="004F7E58" w:rsidRDefault="0001741B" w:rsidP="0001741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E709" w14:textId="3E324992" w:rsidR="0001741B" w:rsidRPr="004F7E58" w:rsidRDefault="00781FA4" w:rsidP="0001741B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 xml:space="preserve">Vidi </w:t>
            </w:r>
            <w:r w:rsidR="00676C62" w:rsidRPr="004F7E58">
              <w:rPr>
                <w:i/>
                <w:noProof/>
                <w:lang w:val="bs-Latn-BA"/>
              </w:rPr>
              <w:t>III.4.B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340E73" w14:textId="79CBE0ED" w:rsidR="0001741B" w:rsidRPr="004F7E58" w:rsidRDefault="00676C62" w:rsidP="0001741B">
            <w:pPr>
              <w:pStyle w:val="NormalPFM1"/>
              <w:keepNext/>
              <w:spacing w:before="40" w:after="40" w:line="240" w:lineRule="auto"/>
              <w:jc w:val="left"/>
              <w:rPr>
                <w:i/>
                <w:strike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III.4.B</w:t>
            </w:r>
          </w:p>
        </w:tc>
      </w:tr>
      <w:tr w:rsidR="0034198A" w:rsidRPr="004F7E58" w14:paraId="18FBD8B3" w14:textId="77777777" w:rsidTr="00E07589">
        <w:trPr>
          <w:cantSplit/>
          <w:trHeight w:val="826"/>
        </w:trPr>
        <w:tc>
          <w:tcPr>
            <w:tcW w:w="510" w:type="dxa"/>
            <w:tcBorders>
              <w:top w:val="single" w:sz="4" w:space="0" w:color="auto"/>
            </w:tcBorders>
          </w:tcPr>
          <w:p w14:paraId="5B6269B5" w14:textId="77777777" w:rsidR="0034198A" w:rsidRPr="004F7E58" w:rsidRDefault="0034198A" w:rsidP="0034198A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E43C57B" w14:textId="7BAE7E72" w:rsidR="0034198A" w:rsidRPr="004F7E58" w:rsidRDefault="0001741B" w:rsidP="0034198A">
            <w:pPr>
              <w:pStyle w:val="NormalPFM1"/>
              <w:keepNext/>
              <w:rPr>
                <w:strike/>
                <w:noProof/>
                <w:lang w:val="bs-Latn-BA"/>
              </w:rPr>
            </w:pPr>
            <w:r w:rsidRPr="004F7E58">
              <w:rPr>
                <w:lang w:val="bs-Latn-BA"/>
              </w:rPr>
              <w:t>Uredb</w:t>
            </w:r>
            <w:r w:rsidR="00A0604C" w:rsidRPr="004F7E58">
              <w:rPr>
                <w:lang w:val="bs-Latn-BA"/>
              </w:rPr>
              <w:t>a</w:t>
            </w:r>
            <w:r w:rsidRPr="004F7E58">
              <w:rPr>
                <w:lang w:val="bs-Latn-BA"/>
              </w:rPr>
              <w:t xml:space="preserve"> o povezivanju strateškog, investicijskog i programskog planiranja </w:t>
            </w:r>
            <w:r w:rsidR="00E07589" w:rsidRPr="004F7E58">
              <w:rPr>
                <w:lang w:val="bs-Latn-BA"/>
              </w:rPr>
              <w:t xml:space="preserve">je </w:t>
            </w:r>
            <w:r w:rsidR="008375EC" w:rsidRPr="004F7E58">
              <w:rPr>
                <w:lang w:val="bs-Latn-BA"/>
              </w:rPr>
              <w:t>završena 2024</w:t>
            </w:r>
            <w:r w:rsidR="00B156F1" w:rsidRPr="004F7E58">
              <w:rPr>
                <w:lang w:val="bs-Latn-BA"/>
              </w:rPr>
              <w:t>. godine</w:t>
            </w:r>
            <w:r w:rsidR="008375EC" w:rsidRPr="004F7E58">
              <w:rPr>
                <w:lang w:val="bs-Latn-BA"/>
              </w:rPr>
              <w:t xml:space="preserve">, treba se usvojiti tokom 2025. </w:t>
            </w:r>
          </w:p>
        </w:tc>
      </w:tr>
    </w:tbl>
    <w:p w14:paraId="0E410C1C" w14:textId="77777777" w:rsidR="0001741B" w:rsidRPr="004F7E58" w:rsidRDefault="0001741B">
      <w:pPr>
        <w:rPr>
          <w:lang w:val="bs-Latn-BA"/>
        </w:rPr>
      </w:pPr>
    </w:p>
    <w:tbl>
      <w:tblPr>
        <w:tblStyle w:val="TableGrid"/>
        <w:tblW w:w="9475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34198A" w:rsidRPr="004F7E58" w14:paraId="0211276E" w14:textId="77777777" w:rsidTr="009A5EF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6B0A" w14:textId="77777777" w:rsidR="0034198A" w:rsidRPr="004F7E58" w:rsidRDefault="0034198A" w:rsidP="0034198A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819" w14:textId="77777777" w:rsidR="0034198A" w:rsidRPr="004F7E58" w:rsidRDefault="0034198A" w:rsidP="0034198A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EC46" w14:textId="5C4F80C8" w:rsidR="0034198A" w:rsidRPr="004F7E58" w:rsidRDefault="0034198A" w:rsidP="0034198A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4A054A" w:rsidRPr="004F7E58" w14:paraId="2C9A9397" w14:textId="77777777" w:rsidTr="004A054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4CF3" w14:textId="77777777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3A4" w14:textId="34E2280B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III.4.4 Priprema i implementacija akcionih planova za definisanje budžetskog programa na osnovu politika i oblasti pružanja usluga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9FE17F" w14:textId="0B0BAEF4" w:rsidR="004A054A" w:rsidRPr="004F7E58" w:rsidRDefault="004A054A" w:rsidP="004A054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2022. godini</w:t>
            </w:r>
          </w:p>
        </w:tc>
      </w:tr>
      <w:tr w:rsidR="00676C62" w:rsidRPr="004F7E58" w14:paraId="1D46CEB7" w14:textId="77777777" w:rsidTr="009A5EF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C226" w14:textId="77777777" w:rsidR="00676C62" w:rsidRPr="004F7E58" w:rsidRDefault="00676C62" w:rsidP="00676C6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1C9" w14:textId="52666B61" w:rsidR="00676C62" w:rsidRPr="004F7E58" w:rsidRDefault="00781FA4" w:rsidP="00676C62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 xml:space="preserve">Vidi </w:t>
            </w:r>
            <w:r w:rsidR="00676C62" w:rsidRPr="004F7E58">
              <w:rPr>
                <w:i/>
                <w:noProof/>
                <w:lang w:val="bs-Latn-BA"/>
              </w:rPr>
              <w:t>III.4.B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2407A9" w14:textId="71797462" w:rsidR="00676C62" w:rsidRPr="004F7E58" w:rsidRDefault="00676C62" w:rsidP="00676C62">
            <w:pPr>
              <w:pStyle w:val="NormalPFM1"/>
              <w:keepNext/>
              <w:spacing w:before="40" w:after="40" w:line="240" w:lineRule="auto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III.4.B</w:t>
            </w:r>
          </w:p>
        </w:tc>
      </w:tr>
      <w:tr w:rsidR="0034198A" w:rsidRPr="004F7E58" w14:paraId="052D3E63" w14:textId="77777777" w:rsidTr="009A5EF4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07500AC" w14:textId="77777777" w:rsidR="0034198A" w:rsidRPr="004F7E58" w:rsidRDefault="0034198A" w:rsidP="0034198A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2F5FB19A" w14:textId="0F048780" w:rsidR="0034198A" w:rsidRPr="004F7E58" w:rsidRDefault="0034198A" w:rsidP="0034198A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Sa 33 od 67 korisnika FBIH budžeta je provoden proces konsultacija tokom kojeg je provedeno redefinisanje programske strukture budžeta i veze sa planom rada i ovaj proces se planira završiti tokom 202</w:t>
            </w:r>
            <w:r w:rsidR="00237ECB">
              <w:rPr>
                <w:lang w:val="bs-Latn-BA"/>
              </w:rPr>
              <w:t>5</w:t>
            </w:r>
            <w:r w:rsidRPr="004F7E58">
              <w:rPr>
                <w:lang w:val="bs-Latn-BA"/>
              </w:rPr>
              <w:t>. godine i sa ostalim budžetskim korisnicima.</w:t>
            </w:r>
            <w:r w:rsidR="0001741B" w:rsidRPr="004F7E58">
              <w:rPr>
                <w:lang w:val="bs-Latn-BA"/>
              </w:rPr>
              <w:t xml:space="preserve"> Projekat tehničke podrške završio je u 2022. godini, uključujući i aktivnosti proces konsultacija tokom kojeg je provedeno redefinisanje programske strukture budžeta i veze sa planom rada</w:t>
            </w:r>
            <w:r w:rsidR="00E84C20" w:rsidRPr="004F7E58">
              <w:rPr>
                <w:lang w:val="bs-Latn-BA"/>
              </w:rPr>
              <w:t>.</w:t>
            </w:r>
          </w:p>
        </w:tc>
      </w:tr>
    </w:tbl>
    <w:p w14:paraId="4FF8F54F" w14:textId="3AC41FFA" w:rsidR="00A47809" w:rsidRPr="004F7E58" w:rsidRDefault="00A47809" w:rsidP="00FB58E7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88727C" w:rsidRPr="004F7E58" w14:paraId="284DA060" w14:textId="77777777" w:rsidTr="00676C6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91F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202B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FD85" w14:textId="7D6A7521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88727C" w:rsidRPr="004F7E58" w14:paraId="764C95B2" w14:textId="77777777" w:rsidTr="00676C6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3A2C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85C5" w14:textId="6942FBFC" w:rsidR="0088727C" w:rsidRPr="004F7E58" w:rsidRDefault="002F275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III.4.5 Pomoć budžetskim korisnicima u prepoznavanju programa i njihovih elemenata, u analizi programa i programskih elemenata i njihove konačne obrade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34AC3F6" w14:textId="2F635956" w:rsidR="0088727C" w:rsidRPr="004F7E58" w:rsidRDefault="002F275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u </w:t>
            </w:r>
            <w:r w:rsidR="00F6124A" w:rsidRPr="004F7E58">
              <w:rPr>
                <w:noProof/>
                <w:lang w:val="bs-Latn-BA"/>
              </w:rPr>
              <w:t>2021.</w:t>
            </w:r>
            <w:r w:rsidR="00EF4337" w:rsidRPr="004F7E58">
              <w:rPr>
                <w:noProof/>
                <w:lang w:val="bs-Latn-BA"/>
              </w:rPr>
              <w:t xml:space="preserve"> godini</w:t>
            </w:r>
          </w:p>
        </w:tc>
      </w:tr>
      <w:tr w:rsidR="00676C62" w:rsidRPr="004F7E58" w14:paraId="4E8F8F98" w14:textId="77777777" w:rsidTr="00405FC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BFE" w14:textId="77777777" w:rsidR="00676C62" w:rsidRPr="004F7E58" w:rsidRDefault="00676C62" w:rsidP="00676C6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2B3" w14:textId="13CB9D0F" w:rsidR="00676C62" w:rsidRPr="004F7E58" w:rsidRDefault="00781FA4" w:rsidP="00676C62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 xml:space="preserve">Vidi </w:t>
            </w:r>
            <w:r w:rsidR="00676C62" w:rsidRPr="004F7E58">
              <w:rPr>
                <w:i/>
                <w:noProof/>
                <w:lang w:val="bs-Latn-BA"/>
              </w:rPr>
              <w:t>III.4.B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497EBA" w14:textId="20720BF9" w:rsidR="00676C62" w:rsidRPr="004F7E58" w:rsidRDefault="00676C62" w:rsidP="00676C62">
            <w:pPr>
              <w:pStyle w:val="NormalPFM1"/>
              <w:keepNext/>
              <w:spacing w:before="40" w:after="40" w:line="240" w:lineRule="auto"/>
              <w:jc w:val="left"/>
              <w:rPr>
                <w:i/>
                <w:strike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III.4.B</w:t>
            </w:r>
          </w:p>
        </w:tc>
      </w:tr>
      <w:tr w:rsidR="002D1676" w:rsidRPr="004F7E58" w14:paraId="14665A12" w14:textId="77777777" w:rsidTr="00676C62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748494F4" w14:textId="77777777" w:rsidR="002D1676" w:rsidRPr="004F7E58" w:rsidRDefault="002D1676" w:rsidP="002D1676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20B9D67E" w14:textId="2686AAE0" w:rsidR="002D1676" w:rsidRPr="004F7E58" w:rsidRDefault="002D1676" w:rsidP="002D1676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Ova aktivnost je spojena sa aktivnošću III.4.4. i provedena zajedno. Tokom implementacije je donesena odluka da se ne provode piloti, nego da se obuka provede zajedno za sve korisnike i za osoblje FMF. </w:t>
            </w:r>
          </w:p>
        </w:tc>
      </w:tr>
    </w:tbl>
    <w:p w14:paraId="110B9559" w14:textId="359A2427" w:rsidR="0088727C" w:rsidRPr="004F7E58" w:rsidRDefault="0088727C" w:rsidP="00FB58E7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88727C" w:rsidRPr="004F7E58" w14:paraId="3C5EC150" w14:textId="77777777" w:rsidTr="00405FC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E4D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9A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FAF" w14:textId="6E12BAC6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88727C" w:rsidRPr="004F7E58" w14:paraId="42F57730" w14:textId="77777777" w:rsidTr="00405FC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F3E7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696" w14:textId="39574C70" w:rsidR="0088727C" w:rsidRPr="004F7E58" w:rsidRDefault="002F275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III.4.6 Izrada metodologije za mjerenje učinka i njeno provođenje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3F8983F" w14:textId="0C1A1A22" w:rsidR="0088727C" w:rsidRPr="004F7E58" w:rsidRDefault="002F275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</w:t>
            </w:r>
            <w:r w:rsidR="00EF4337" w:rsidRPr="004F7E58">
              <w:rPr>
                <w:noProof/>
                <w:lang w:val="bs-Latn-BA"/>
              </w:rPr>
              <w:t xml:space="preserve"> u 2021.</w:t>
            </w:r>
            <w:r w:rsidR="00973792" w:rsidRPr="004F7E58">
              <w:rPr>
                <w:noProof/>
                <w:lang w:val="bs-Latn-BA"/>
              </w:rPr>
              <w:t xml:space="preserve"> godini</w:t>
            </w:r>
          </w:p>
        </w:tc>
      </w:tr>
      <w:tr w:rsidR="00405FCA" w:rsidRPr="004F7E58" w14:paraId="39DB4FE0" w14:textId="77777777" w:rsidTr="00405FC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F28" w14:textId="77777777" w:rsidR="00405FCA" w:rsidRPr="004F7E58" w:rsidRDefault="00405FCA" w:rsidP="00405FC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CFBF" w14:textId="7CC89758" w:rsidR="00405FCA" w:rsidRPr="004F7E58" w:rsidRDefault="00405FCA" w:rsidP="00405FC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III.4.B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E7FDA01" w14:textId="6ADD159A" w:rsidR="00405FCA" w:rsidRPr="004F7E58" w:rsidRDefault="00405FCA" w:rsidP="00405FCA">
            <w:pPr>
              <w:pStyle w:val="NormalPFM1"/>
              <w:keepNext/>
              <w:spacing w:before="40" w:after="40" w:line="240" w:lineRule="auto"/>
              <w:jc w:val="left"/>
              <w:rPr>
                <w:i/>
                <w:strike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III.4.B</w:t>
            </w:r>
          </w:p>
        </w:tc>
      </w:tr>
      <w:tr w:rsidR="00563F12" w:rsidRPr="004F7E58" w14:paraId="1214AD7B" w14:textId="77777777" w:rsidTr="00405FCA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D94136D" w14:textId="77777777" w:rsidR="00563F12" w:rsidRPr="004F7E58" w:rsidRDefault="00563F12" w:rsidP="00563F12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FDC50CE" w14:textId="5B0619F4" w:rsidR="00563F12" w:rsidRPr="004F7E58" w:rsidRDefault="00563F12" w:rsidP="00563F12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Aktivnost na izradi metodologije praćenja učinka i popratna obuka korisnika za njenu primjenu sve do izrade pasoša indikatora je provedena tokom 2021. godine. Sa krajem 2022. godine, svi korisnici imaju definisane pasoše indikatora. </w:t>
            </w:r>
          </w:p>
        </w:tc>
      </w:tr>
    </w:tbl>
    <w:p w14:paraId="7569CE2C" w14:textId="3E4FF577" w:rsidR="0088727C" w:rsidRPr="004F7E58" w:rsidRDefault="0088727C" w:rsidP="00FB58E7">
      <w:pPr>
        <w:rPr>
          <w:lang w:val="bs-Latn-BA"/>
        </w:rPr>
      </w:pPr>
    </w:p>
    <w:tbl>
      <w:tblPr>
        <w:tblStyle w:val="TableGrid"/>
        <w:tblW w:w="9475" w:type="dxa"/>
        <w:tblInd w:w="-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88727C" w:rsidRPr="004F7E58" w14:paraId="6A5BB925" w14:textId="77777777" w:rsidTr="001D3B1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9560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5BFD" w14:textId="77777777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A21" w14:textId="3F730CBA" w:rsidR="0088727C" w:rsidRPr="004F7E58" w:rsidRDefault="0088727C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9F3E19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9F3E19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D3B1F" w:rsidRPr="004F7E58" w14:paraId="442F72EF" w14:textId="77777777" w:rsidTr="004A054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361" w14:textId="77777777" w:rsidR="001D3B1F" w:rsidRPr="004F7E58" w:rsidRDefault="001D3B1F" w:rsidP="001D3B1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8280" w14:textId="114800F9" w:rsidR="001D3B1F" w:rsidRPr="004F7E58" w:rsidRDefault="001D3B1F" w:rsidP="001D3B1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III.4.7 Obuka o konceptima i metodologiji programskog budžetiranja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3B68C7" w14:textId="3E07555F" w:rsidR="001D3B1F" w:rsidRPr="004F7E58" w:rsidRDefault="001D3B1F" w:rsidP="001D3B1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4A054A" w:rsidRPr="004F7E58">
              <w:rPr>
                <w:noProof/>
                <w:lang w:val="bs-Latn-BA"/>
              </w:rPr>
              <w:t>u 2022. godini</w:t>
            </w:r>
          </w:p>
        </w:tc>
      </w:tr>
      <w:tr w:rsidR="00405FCA" w:rsidRPr="004F7E58" w14:paraId="3E01366C" w14:textId="77777777" w:rsidTr="001D3B1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017" w14:textId="77777777" w:rsidR="00405FCA" w:rsidRPr="004F7E58" w:rsidRDefault="00405FCA" w:rsidP="00405FC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3751" w14:textId="20E65A6B" w:rsidR="00405FCA" w:rsidRPr="004F7E58" w:rsidRDefault="00405FCA" w:rsidP="00405FC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III.4.B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160D18" w14:textId="2DCF4336" w:rsidR="00405FCA" w:rsidRPr="004F7E58" w:rsidRDefault="00405FCA" w:rsidP="00405FCA">
            <w:pPr>
              <w:pStyle w:val="NormalPFM1"/>
              <w:keepNext/>
              <w:spacing w:before="40" w:after="40" w:line="240" w:lineRule="auto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III.4.B</w:t>
            </w:r>
          </w:p>
        </w:tc>
      </w:tr>
      <w:tr w:rsidR="002D1676" w:rsidRPr="004F7E58" w14:paraId="1A4963F3" w14:textId="77777777" w:rsidTr="001D3B1F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F91ABDE" w14:textId="77777777" w:rsidR="002D1676" w:rsidRPr="004F7E58" w:rsidRDefault="002D1676" w:rsidP="002D1676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F513ACB" w14:textId="7AD592A0" w:rsidR="002D1676" w:rsidRPr="004F7E58" w:rsidRDefault="002D1676" w:rsidP="00405FCA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Analiza potreba za obukom je provedena, i na njenom osnovu je rađen plan i provedena je obuka za korisnike FBIH budžeta tokom 2021. godine o konceptima progamskog budžetiranja. Na nivou kantona </w:t>
            </w:r>
            <w:r w:rsidR="00405FCA" w:rsidRPr="004F7E58">
              <w:rPr>
                <w:lang w:val="bs-Latn-BA"/>
              </w:rPr>
              <w:t>je</w:t>
            </w:r>
            <w:r w:rsidRPr="004F7E58">
              <w:rPr>
                <w:lang w:val="bs-Latn-BA"/>
              </w:rPr>
              <w:t xml:space="preserve"> ova obuka </w:t>
            </w:r>
            <w:r w:rsidR="00405FCA" w:rsidRPr="004F7E58">
              <w:rPr>
                <w:lang w:val="bs-Latn-BA"/>
              </w:rPr>
              <w:t>provedena</w:t>
            </w:r>
            <w:r w:rsidRPr="004F7E58">
              <w:rPr>
                <w:lang w:val="bs-Latn-BA"/>
              </w:rPr>
              <w:t xml:space="preserve"> u 2022. godini. </w:t>
            </w:r>
          </w:p>
        </w:tc>
      </w:tr>
    </w:tbl>
    <w:p w14:paraId="1C88AF66" w14:textId="09A66369" w:rsidR="0088727C" w:rsidRPr="004F7E58" w:rsidRDefault="0088727C" w:rsidP="00FB58E7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755EE1" w:rsidRPr="004F7E58" w14:paraId="1A0E4C16" w14:textId="77777777" w:rsidTr="00676C6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6D0C" w14:textId="77777777" w:rsidR="00755EE1" w:rsidRPr="004F7E58" w:rsidRDefault="00755EE1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128A" w14:textId="77777777" w:rsidR="00755EE1" w:rsidRPr="004F7E58" w:rsidRDefault="00755EE1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2648" w14:textId="5D300FD1" w:rsidR="00755EE1" w:rsidRPr="004F7E58" w:rsidRDefault="00755EE1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A0604C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55EE1" w:rsidRPr="004F7E58" w14:paraId="4373482B" w14:textId="77777777" w:rsidTr="00676C6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96C0" w14:textId="77777777" w:rsidR="00755EE1" w:rsidRPr="004F7E58" w:rsidRDefault="00755EE1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46B" w14:textId="41FE27F5" w:rsidR="00755EE1" w:rsidRPr="004F7E58" w:rsidRDefault="00755EE1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III.4.8 Jačanje kapaciteta na nivou JLS za programsko budžetiranje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DB26FC" w14:textId="60272E35" w:rsidR="00755EE1" w:rsidRPr="004F7E58" w:rsidRDefault="00755EE1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(nije ni predviđeno u </w:t>
            </w:r>
            <w:r w:rsidR="00405FCA" w:rsidRPr="004F7E58">
              <w:rPr>
                <w:noProof/>
                <w:lang w:val="bs-Latn-BA"/>
              </w:rPr>
              <w:t>202</w:t>
            </w:r>
            <w:r w:rsidR="00A0604C"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676C62" w:rsidRPr="004F7E58" w14:paraId="5C586818" w14:textId="77777777" w:rsidTr="00405FC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36C" w14:textId="77777777" w:rsidR="00676C62" w:rsidRPr="004F7E58" w:rsidRDefault="00676C62" w:rsidP="00676C6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8BFF" w14:textId="6EA7F1F3" w:rsidR="00676C62" w:rsidRPr="004F7E58" w:rsidRDefault="00405FCA" w:rsidP="00676C62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III.4.C Ojačani kapaciteti JLS za programsko budžetiranje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D16D3B" w14:textId="7E6974DD" w:rsidR="00676C62" w:rsidRPr="004F7E58" w:rsidRDefault="00405FCA" w:rsidP="00676C62">
            <w:pPr>
              <w:pStyle w:val="NormalPFM1"/>
              <w:keepNext/>
              <w:spacing w:before="40" w:after="40" w:line="240" w:lineRule="auto"/>
              <w:jc w:val="left"/>
              <w:rPr>
                <w:strike/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nije istekao</w:t>
            </w:r>
          </w:p>
        </w:tc>
      </w:tr>
      <w:tr w:rsidR="002D1676" w:rsidRPr="004F7E58" w14:paraId="2C8A798F" w14:textId="77777777" w:rsidTr="00676C62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69E3DB4" w14:textId="77777777" w:rsidR="002D1676" w:rsidRPr="004F7E58" w:rsidRDefault="002D1676" w:rsidP="002D1676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FB20C31" w14:textId="56414799" w:rsidR="006774B0" w:rsidRPr="004F7E58" w:rsidRDefault="006271DD" w:rsidP="006774B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F</w:t>
            </w:r>
            <w:r w:rsidR="00A0604C" w:rsidRPr="004F7E58">
              <w:rPr>
                <w:noProof/>
                <w:lang w:val="bs-Latn-BA"/>
              </w:rPr>
              <w:t>MF</w:t>
            </w:r>
            <w:r w:rsidRPr="004F7E58">
              <w:rPr>
                <w:noProof/>
                <w:lang w:val="bs-Latn-BA"/>
              </w:rPr>
              <w:t xml:space="preserve"> traži tehniču pomoć da bi mogli provesti ovu aktivnost na nivou kantona, </w:t>
            </w:r>
            <w:r w:rsidR="00A0604C" w:rsidRPr="004F7E58">
              <w:rPr>
                <w:noProof/>
                <w:lang w:val="bs-Latn-BA"/>
              </w:rPr>
              <w:t xml:space="preserve">a zatim na </w:t>
            </w:r>
            <w:r w:rsidRPr="004F7E58">
              <w:rPr>
                <w:noProof/>
                <w:lang w:val="bs-Latn-BA"/>
              </w:rPr>
              <w:t>opštinsk</w:t>
            </w:r>
            <w:r w:rsidR="00A0604C" w:rsidRPr="004F7E58">
              <w:rPr>
                <w:noProof/>
                <w:lang w:val="bs-Latn-BA"/>
              </w:rPr>
              <w:t xml:space="preserve">om </w:t>
            </w:r>
            <w:r w:rsidRPr="004F7E58">
              <w:rPr>
                <w:noProof/>
                <w:lang w:val="bs-Latn-BA"/>
              </w:rPr>
              <w:t>nivo</w:t>
            </w:r>
            <w:r w:rsidR="00A0604C" w:rsidRPr="004F7E58">
              <w:rPr>
                <w:noProof/>
                <w:lang w:val="bs-Latn-BA"/>
              </w:rPr>
              <w:t>u</w:t>
            </w:r>
            <w:r w:rsidRPr="004F7E58">
              <w:rPr>
                <w:noProof/>
                <w:lang w:val="bs-Latn-BA"/>
              </w:rPr>
              <w:t xml:space="preserve">. </w:t>
            </w:r>
          </w:p>
        </w:tc>
      </w:tr>
    </w:tbl>
    <w:p w14:paraId="4F4078AD" w14:textId="77627443" w:rsidR="00755EE1" w:rsidRPr="004F7E58" w:rsidRDefault="00755EE1" w:rsidP="00FB58E7">
      <w:pPr>
        <w:rPr>
          <w:lang w:val="bs-Latn-BA"/>
        </w:rPr>
      </w:pPr>
    </w:p>
    <w:p w14:paraId="2F49E7C4" w14:textId="06FCE53E" w:rsidR="00CB2C20" w:rsidRPr="004F7E58" w:rsidRDefault="00CB2C20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lang w:val="bs-Latn-BA"/>
        </w:rPr>
      </w:pPr>
      <w:r w:rsidRPr="004F7E58">
        <w:rPr>
          <w:b/>
          <w:i w:val="0"/>
          <w:color w:val="C00000"/>
          <w:lang w:val="bs-Latn-BA"/>
        </w:rPr>
        <w:t>MJERA: III.5. Poboljšanje software-a za pripremu budzeta i trezorskog sistema na nivou FBiH i kantona</w:t>
      </w:r>
    </w:p>
    <w:p w14:paraId="414D2863" w14:textId="77777777" w:rsidR="00CB2C20" w:rsidRPr="004F7E58" w:rsidRDefault="00CB2C20" w:rsidP="00CB2C20">
      <w:pPr>
        <w:rPr>
          <w:b/>
          <w:lang w:val="bs-Latn-BA"/>
        </w:rPr>
      </w:pPr>
    </w:p>
    <w:p w14:paraId="4813442B" w14:textId="29F6C1BE" w:rsidR="00CB2C20" w:rsidRPr="004F7E58" w:rsidRDefault="00CB2C20" w:rsidP="00CB2C2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E2908" w:rsidRPr="004F7E58" w14:paraId="1C3062C5" w14:textId="77777777" w:rsidTr="00DC7F97">
        <w:tc>
          <w:tcPr>
            <w:tcW w:w="9350" w:type="dxa"/>
          </w:tcPr>
          <w:p w14:paraId="502AFCC8" w14:textId="5C7DAFCA" w:rsidR="002E2908" w:rsidRPr="004F7E58" w:rsidRDefault="002E2908" w:rsidP="003F0935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U izvještajnom periodu u okviru mjere planiran</w:t>
            </w:r>
            <w:r w:rsidR="003F0935" w:rsidRPr="004F7E58">
              <w:rPr>
                <w:noProof/>
                <w:lang w:val="bs-Latn-BA"/>
              </w:rPr>
              <w:t>a</w:t>
            </w:r>
            <w:r w:rsidRPr="004F7E58">
              <w:rPr>
                <w:noProof/>
                <w:lang w:val="bs-Latn-BA"/>
              </w:rPr>
              <w:t xml:space="preserve"> </w:t>
            </w:r>
            <w:r w:rsidR="003F0935" w:rsidRPr="004F7E58">
              <w:rPr>
                <w:noProof/>
                <w:lang w:val="bs-Latn-BA"/>
              </w:rPr>
              <w:t>je</w:t>
            </w:r>
            <w:r w:rsidRPr="004F7E58">
              <w:rPr>
                <w:noProof/>
                <w:lang w:val="bs-Latn-BA"/>
              </w:rPr>
              <w:t xml:space="preserve"> </w:t>
            </w:r>
            <w:r w:rsidR="003F0935" w:rsidRPr="004F7E58">
              <w:rPr>
                <w:noProof/>
                <w:lang w:val="bs-Latn-BA"/>
              </w:rPr>
              <w:t xml:space="preserve">jedna aktivnosti, </w:t>
            </w:r>
            <w:r w:rsidR="00E07589" w:rsidRPr="004F7E58">
              <w:rPr>
                <w:noProof/>
                <w:lang w:val="bs-Latn-BA"/>
              </w:rPr>
              <w:t xml:space="preserve">koja je u toku. </w:t>
            </w:r>
            <w:r w:rsidR="00441BDB" w:rsidRPr="004F7E58">
              <w:rPr>
                <w:noProof/>
                <w:lang w:val="bs-Latn-BA"/>
              </w:rPr>
              <w:t xml:space="preserve">Jedna aktivnost je brisana. </w:t>
            </w:r>
          </w:p>
        </w:tc>
      </w:tr>
      <w:tr w:rsidR="002E2908" w:rsidRPr="004F7E58" w14:paraId="3914DD6F" w14:textId="77777777" w:rsidTr="00DC7F97">
        <w:tc>
          <w:tcPr>
            <w:tcW w:w="9350" w:type="dxa"/>
          </w:tcPr>
          <w:p w14:paraId="0749E64D" w14:textId="6C611D9D" w:rsidR="002E2908" w:rsidRPr="004F7E58" w:rsidRDefault="003F0935" w:rsidP="003F0935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</w:t>
            </w:r>
            <w:r w:rsidR="002E2908" w:rsidRPr="004F7E58">
              <w:rPr>
                <w:noProof/>
                <w:lang w:val="bs-Latn-BA"/>
              </w:rPr>
              <w:t xml:space="preserve">ok za realizaciju </w:t>
            </w:r>
            <w:r w:rsidR="00FE67F1" w:rsidRPr="004F7E58">
              <w:rPr>
                <w:noProof/>
                <w:lang w:val="bs-Latn-BA"/>
              </w:rPr>
              <w:t xml:space="preserve">rezultata mjere </w:t>
            </w:r>
            <w:r w:rsidR="00DF37C8" w:rsidRPr="004F7E58">
              <w:rPr>
                <w:noProof/>
                <w:lang w:val="bs-Latn-BA"/>
              </w:rPr>
              <w:t>(i</w:t>
            </w:r>
            <w:r w:rsidRPr="004F7E58">
              <w:rPr>
                <w:noProof/>
                <w:lang w:val="bs-Latn-BA"/>
              </w:rPr>
              <w:t>n</w:t>
            </w:r>
            <w:r w:rsidR="00DF37C8" w:rsidRPr="004F7E58">
              <w:rPr>
                <w:noProof/>
                <w:lang w:val="bs-Latn-BA"/>
              </w:rPr>
              <w:t xml:space="preserve">formacioni sistem </w:t>
            </w:r>
            <w:r w:rsidRPr="004F7E58">
              <w:rPr>
                <w:noProof/>
                <w:lang w:val="bs-Latn-BA"/>
              </w:rPr>
              <w:t xml:space="preserve">za pripremu budžeta </w:t>
            </w:r>
            <w:r w:rsidR="00DF37C8" w:rsidRPr="004F7E58">
              <w:rPr>
                <w:noProof/>
                <w:lang w:val="bs-Latn-BA"/>
              </w:rPr>
              <w:t xml:space="preserve">u upotrebi) </w:t>
            </w:r>
            <w:r w:rsidR="006E51B9" w:rsidRPr="004F7E58">
              <w:rPr>
                <w:noProof/>
                <w:lang w:val="bs-Latn-BA"/>
              </w:rPr>
              <w:t xml:space="preserve">je </w:t>
            </w:r>
            <w:r w:rsidR="00E07589" w:rsidRPr="004F7E58">
              <w:rPr>
                <w:noProof/>
                <w:lang w:val="bs-Latn-BA"/>
              </w:rPr>
              <w:t xml:space="preserve">2024, ali je implementacija u toku. </w:t>
            </w:r>
          </w:p>
        </w:tc>
      </w:tr>
    </w:tbl>
    <w:p w14:paraId="03FF57CD" w14:textId="77777777" w:rsidR="00CB2C20" w:rsidRPr="004F7E58" w:rsidRDefault="00CB2C20" w:rsidP="00CB2C20">
      <w:pPr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CB2C20" w:rsidRPr="004F7E58" w14:paraId="24D9D296" w14:textId="77777777" w:rsidTr="00B75E6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DCC6" w14:textId="77777777" w:rsidR="00CB2C20" w:rsidRPr="004F7E58" w:rsidRDefault="00CB2C2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8CF" w14:textId="77777777" w:rsidR="00CB2C20" w:rsidRPr="004F7E58" w:rsidRDefault="00CB2C2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00DC" w14:textId="1B9DC853" w:rsidR="00CB2C20" w:rsidRPr="004F7E58" w:rsidRDefault="00CB2C2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441BD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441BD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E311E8" w:rsidRPr="004F7E58" w14:paraId="045744F6" w14:textId="77777777" w:rsidTr="00B546D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617" w14:textId="77777777" w:rsidR="00E311E8" w:rsidRPr="004F7E58" w:rsidRDefault="00E311E8" w:rsidP="00E311E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2C7" w14:textId="5B05B2AE" w:rsidR="00E311E8" w:rsidRPr="004F7E58" w:rsidRDefault="00E311E8" w:rsidP="00E311E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III.5.1 Analiza potreba za nadogradnjom software za budzet i trezorskog sistema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64F1EA3" w14:textId="36B0F9D4" w:rsidR="00E311E8" w:rsidRPr="004F7E58" w:rsidRDefault="00E311E8" w:rsidP="00E311E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2021. godini</w:t>
            </w:r>
          </w:p>
        </w:tc>
      </w:tr>
      <w:tr w:rsidR="00B75E62" w:rsidRPr="004F7E58" w14:paraId="79CD17D5" w14:textId="77777777" w:rsidTr="00B75E6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A81" w14:textId="77777777" w:rsidR="00B75E62" w:rsidRPr="004F7E58" w:rsidRDefault="00B75E62" w:rsidP="00B75E6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35FC" w14:textId="38418993" w:rsidR="00B75E62" w:rsidRPr="004F7E58" w:rsidRDefault="00B75E62" w:rsidP="00B75E62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nije definisan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6DB5FD8E" w14:textId="6B7634DD" w:rsidR="00B75E62" w:rsidRPr="004F7E58" w:rsidRDefault="00B75E62" w:rsidP="00B75E6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nije definiran</w:t>
            </w:r>
          </w:p>
        </w:tc>
      </w:tr>
      <w:tr w:rsidR="00CB2C20" w:rsidRPr="004F7E58" w14:paraId="46165FAD" w14:textId="77777777" w:rsidTr="00B75E62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C185245" w14:textId="77777777" w:rsidR="00CB2C20" w:rsidRPr="004F7E58" w:rsidRDefault="00CB2C2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5C18FFB3" w14:textId="73428228" w:rsidR="00CB2C20" w:rsidRPr="004F7E58" w:rsidRDefault="00826CDD" w:rsidP="007E3EA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Analiza potreba za promjenam software za pripremu budžeta je napravljena i dane su preporuke. Iako je originalno planirana dorada softvera, ispostavilo se da je potrebno nabaviti novi software, pošto postojeći ne odogovara potrebama, i ne može se doraditi.</w:t>
            </w:r>
          </w:p>
        </w:tc>
      </w:tr>
    </w:tbl>
    <w:p w14:paraId="5FF3F779" w14:textId="75D812C9" w:rsidR="00CB2C20" w:rsidRPr="004F7E58" w:rsidRDefault="00CB2C20" w:rsidP="00CB2C20">
      <w:pPr>
        <w:rPr>
          <w:lang w:val="fr-FR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510"/>
        <w:gridCol w:w="6200"/>
        <w:gridCol w:w="2759"/>
      </w:tblGrid>
      <w:tr w:rsidR="00CB2C20" w:rsidRPr="004F7E58" w14:paraId="25028D14" w14:textId="77777777" w:rsidTr="00DA41BA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364" w14:textId="77777777" w:rsidR="00CB2C20" w:rsidRPr="004F7E58" w:rsidRDefault="00CB2C2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B676" w14:textId="77777777" w:rsidR="00CB2C20" w:rsidRPr="004F7E58" w:rsidRDefault="00CB2C2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8C41" w14:textId="7BEEFCB7" w:rsidR="00CB2C20" w:rsidRPr="004F7E58" w:rsidRDefault="00CB2C2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441BD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441BDB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CB2C20" w:rsidRPr="004F7E58" w14:paraId="3A7444E0" w14:textId="77777777" w:rsidTr="000A4AD5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0EA8" w14:textId="77777777" w:rsidR="00CB2C20" w:rsidRPr="004F7E58" w:rsidRDefault="00CB2C2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D6D" w14:textId="18035DE8" w:rsidR="00CB2C20" w:rsidRPr="004F7E58" w:rsidRDefault="00826CDD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III.5.2 Nadogradnja software za prirpemu budzeta i trezorskog sistema (DOB, n+2 budzet, programski budzet) na nivou FBIH i kantona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C1A" w14:textId="07F7A6D0" w:rsidR="00CB2C20" w:rsidRPr="004F7E58" w:rsidRDefault="000A4AD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Aktivnost brisana</w:t>
            </w:r>
          </w:p>
        </w:tc>
      </w:tr>
      <w:tr w:rsidR="00FE67F1" w:rsidRPr="004F7E58" w14:paraId="531EC387" w14:textId="77777777" w:rsidTr="000A4AD5">
        <w:trPr>
          <w:gridBefore w:val="1"/>
          <w:wBefore w:w="6" w:type="dxa"/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20A4" w14:textId="77777777" w:rsidR="00FE67F1" w:rsidRPr="004F7E58" w:rsidRDefault="00FE67F1" w:rsidP="00FE67F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F032" w14:textId="643BFC41" w:rsidR="00FE67F1" w:rsidRPr="004F7E58" w:rsidRDefault="00FE67F1" w:rsidP="00B75E62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III.5.</w:t>
            </w:r>
            <w:r w:rsidR="00B75E62" w:rsidRPr="004F7E58">
              <w:rPr>
                <w:noProof/>
                <w:lang w:val="bs-Latn-BA"/>
              </w:rPr>
              <w:t>A</w:t>
            </w:r>
            <w:r w:rsidRPr="004F7E58">
              <w:rPr>
                <w:noProof/>
                <w:lang w:val="bs-Latn-BA"/>
              </w:rPr>
              <w:t xml:space="preserve"> Budžet se izrađuje u novom sistemu na nivou FBiH i u kantonima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85FB" w14:textId="5C3813E8" w:rsidR="00FE67F1" w:rsidRPr="004F7E58" w:rsidRDefault="000A4AD5" w:rsidP="00FE67F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brisan</w:t>
            </w:r>
          </w:p>
        </w:tc>
      </w:tr>
      <w:tr w:rsidR="00CB2C20" w:rsidRPr="004F7E58" w14:paraId="611B078D" w14:textId="77777777" w:rsidTr="00DA41BA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</w:tcBorders>
          </w:tcPr>
          <w:p w14:paraId="5E3FE79C" w14:textId="77777777" w:rsidR="00CB2C20" w:rsidRPr="004F7E58" w:rsidRDefault="00CB2C2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59" w:type="dxa"/>
            <w:gridSpan w:val="2"/>
            <w:tcBorders>
              <w:top w:val="single" w:sz="4" w:space="0" w:color="auto"/>
            </w:tcBorders>
          </w:tcPr>
          <w:p w14:paraId="54A53625" w14:textId="136FE306" w:rsidR="00CB2C20" w:rsidRPr="004F7E58" w:rsidRDefault="00826CDD" w:rsidP="007E3EA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Analiza provede</w:t>
            </w:r>
            <w:r w:rsidR="00E07589" w:rsidRPr="004F7E58">
              <w:rPr>
                <w:lang w:val="bs-Latn-BA"/>
              </w:rPr>
              <w:t>n</w:t>
            </w:r>
            <w:r w:rsidRPr="004F7E58">
              <w:rPr>
                <w:lang w:val="bs-Latn-BA"/>
              </w:rPr>
              <w:t>a tokom 2021. godine je pokazala da je potrebno uvesti novi IT sistem za budžet, i samim time ovu aktivnost nije moguće provesti kako je originalno planirano.</w:t>
            </w:r>
          </w:p>
        </w:tc>
      </w:tr>
    </w:tbl>
    <w:p w14:paraId="7D559583" w14:textId="3EDEAF3A" w:rsidR="00CB2C20" w:rsidRPr="004F7E58" w:rsidRDefault="00CB2C20" w:rsidP="00CB2C20">
      <w:pPr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4819CD" w:rsidRPr="004F7E58" w14:paraId="57573C15" w14:textId="77777777" w:rsidTr="003F093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75FF" w14:textId="77777777" w:rsidR="004819CD" w:rsidRPr="004F7E58" w:rsidRDefault="004819CD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B1FF" w14:textId="77777777" w:rsidR="004819CD" w:rsidRPr="004F7E58" w:rsidRDefault="004819CD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EF1" w14:textId="32486C8B" w:rsidR="004819CD" w:rsidRPr="004F7E58" w:rsidRDefault="004819CD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0758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3F0935" w:rsidRPr="004F7E58" w14:paraId="521B631A" w14:textId="77777777" w:rsidTr="003F093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4E0" w14:textId="77777777" w:rsidR="003F0935" w:rsidRPr="004F7E58" w:rsidRDefault="003F0935" w:rsidP="003F093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7A6" w14:textId="22F2EDFF" w:rsidR="003F0935" w:rsidRPr="004F7E58" w:rsidRDefault="003F0935" w:rsidP="003F093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III.5.3. Uvođenje novog IT sistema za pripremu i izradu budžeta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E77FB7" w14:textId="303F578E" w:rsidR="003F0935" w:rsidRPr="004F7E58" w:rsidRDefault="003F0935" w:rsidP="003F093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A01DD1" w:rsidRPr="004F7E58" w14:paraId="0D3534D6" w14:textId="77777777" w:rsidTr="00E0758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AB31" w14:textId="77777777" w:rsidR="00A01DD1" w:rsidRPr="004F7E58" w:rsidRDefault="00A01DD1" w:rsidP="00A01DD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354" w14:textId="59099F59" w:rsidR="00A01DD1" w:rsidRPr="004F7E58" w:rsidRDefault="00A01DD1" w:rsidP="00A01DD1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III.5.C Novi sistem se koristi za pripremu budžeta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FD65985" w14:textId="57DF86E0" w:rsidR="00A01DD1" w:rsidRPr="004F7E58" w:rsidRDefault="00E07589" w:rsidP="00A01DD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Djelimično postignut</w:t>
            </w:r>
          </w:p>
        </w:tc>
      </w:tr>
      <w:tr w:rsidR="004819CD" w:rsidRPr="004F7E58" w14:paraId="7F6F7758" w14:textId="77777777" w:rsidTr="003F0935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D38B069" w14:textId="77777777" w:rsidR="004819CD" w:rsidRPr="004F7E58" w:rsidRDefault="004819CD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2D48E9A" w14:textId="1930F732" w:rsidR="004819CD" w:rsidRPr="004F7E58" w:rsidRDefault="002C52DA" w:rsidP="002C52DA">
            <w:pPr>
              <w:pStyle w:val="NormalPFM1"/>
              <w:keepNext/>
              <w:rPr>
                <w:strike/>
                <w:lang w:val="bs-Latn-BA"/>
              </w:rPr>
            </w:pPr>
            <w:r w:rsidRPr="004F7E58">
              <w:rPr>
                <w:lang w:val="bs-Latn-BA"/>
              </w:rPr>
              <w:t xml:space="preserve">U 2022. su provedene procedure </w:t>
            </w:r>
            <w:r w:rsidR="00FE06E8" w:rsidRPr="004F7E58">
              <w:rPr>
                <w:lang w:val="bs-Latn-BA"/>
              </w:rPr>
              <w:t>za odobrenje sredstava i pripremu tendera</w:t>
            </w:r>
            <w:r w:rsidRPr="004F7E58">
              <w:rPr>
                <w:lang w:val="bs-Latn-BA"/>
              </w:rPr>
              <w:t xml:space="preserve"> iz sredstava predpristupne pomoći u organizaciji Delegacije EU.</w:t>
            </w:r>
            <w:r w:rsidR="00916EDD" w:rsidRPr="004F7E58">
              <w:rPr>
                <w:lang w:val="bs-Latn-BA"/>
              </w:rPr>
              <w:t xml:space="preserve"> </w:t>
            </w:r>
            <w:r w:rsidR="001B2F91" w:rsidRPr="004F7E58">
              <w:rPr>
                <w:lang w:val="bs-Latn-BA"/>
              </w:rPr>
              <w:t>Tokom 2023. godine se prov</w:t>
            </w:r>
            <w:r w:rsidR="004A054A" w:rsidRPr="004F7E58">
              <w:rPr>
                <w:lang w:val="bs-Latn-BA"/>
              </w:rPr>
              <w:t>ela</w:t>
            </w:r>
            <w:r w:rsidR="001B2F91" w:rsidRPr="004F7E58">
              <w:rPr>
                <w:lang w:val="bs-Latn-BA"/>
              </w:rPr>
              <w:t xml:space="preserve"> procedura odabira izvođača od strane Evropske unije. Implementacija </w:t>
            </w:r>
            <w:r w:rsidR="00040FEF" w:rsidRPr="004F7E58">
              <w:rPr>
                <w:lang w:val="bs-Latn-BA"/>
              </w:rPr>
              <w:t xml:space="preserve">je započeta tokom 2024. godine i očekuje se završetak tokom 2025. godine. </w:t>
            </w:r>
          </w:p>
        </w:tc>
      </w:tr>
    </w:tbl>
    <w:p w14:paraId="7FF5143D" w14:textId="77777777" w:rsidR="004819CD" w:rsidRPr="004F7E58" w:rsidRDefault="004819CD" w:rsidP="00CB2C20">
      <w:pPr>
        <w:rPr>
          <w:lang w:val="bs-Latn-BA"/>
        </w:rPr>
      </w:pPr>
    </w:p>
    <w:p w14:paraId="1D98C4A3" w14:textId="10AC9FCB" w:rsidR="00826CDD" w:rsidRPr="004F7E58" w:rsidRDefault="00826CDD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lang w:val="bs-Latn-BA"/>
        </w:rPr>
      </w:pPr>
      <w:r w:rsidRPr="004F7E58">
        <w:rPr>
          <w:b/>
          <w:i w:val="0"/>
          <w:color w:val="C00000"/>
          <w:lang w:val="bs-Latn-BA"/>
        </w:rPr>
        <w:t>MJERA: III.</w:t>
      </w:r>
      <w:r w:rsidR="007A69D7" w:rsidRPr="004F7E58">
        <w:rPr>
          <w:b/>
          <w:i w:val="0"/>
          <w:color w:val="C00000"/>
          <w:lang w:val="bs-Latn-BA"/>
        </w:rPr>
        <w:t>6</w:t>
      </w:r>
      <w:r w:rsidRPr="004F7E58">
        <w:rPr>
          <w:b/>
          <w:i w:val="0"/>
          <w:color w:val="C00000"/>
          <w:lang w:val="bs-Latn-BA"/>
        </w:rPr>
        <w:t xml:space="preserve">. </w:t>
      </w:r>
      <w:r w:rsidR="007A6D3E" w:rsidRPr="004F7E58">
        <w:rPr>
          <w:b/>
          <w:i w:val="0"/>
          <w:color w:val="C00000"/>
          <w:lang w:val="bs-Latn-BA"/>
        </w:rPr>
        <w:t>Unaprjeđenje planiranja, upravljanja i monitoringa javnih investicija</w:t>
      </w:r>
    </w:p>
    <w:p w14:paraId="08BC5332" w14:textId="77777777" w:rsidR="00826CDD" w:rsidRPr="004F7E58" w:rsidRDefault="00826CDD" w:rsidP="00826CDD">
      <w:pPr>
        <w:rPr>
          <w:b/>
          <w:lang w:val="bs-Latn-BA"/>
        </w:rPr>
      </w:pPr>
    </w:p>
    <w:p w14:paraId="3BD05E8F" w14:textId="2A88F2BF" w:rsidR="00826CDD" w:rsidRPr="004F7E58" w:rsidRDefault="00826CDD" w:rsidP="00826CDD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5C07" w:rsidRPr="004F7E58" w14:paraId="641B7D7B" w14:textId="77777777" w:rsidTr="00DC7F97">
        <w:tc>
          <w:tcPr>
            <w:tcW w:w="9350" w:type="dxa"/>
          </w:tcPr>
          <w:p w14:paraId="565DB5FD" w14:textId="4E1E67A8" w:rsidR="007F5C07" w:rsidRPr="004F7E58" w:rsidRDefault="007F5C07" w:rsidP="00713D33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mjere </w:t>
            </w:r>
            <w:r w:rsidR="00156552" w:rsidRPr="004F7E58">
              <w:rPr>
                <w:noProof/>
                <w:lang w:val="bs-Latn-BA"/>
              </w:rPr>
              <w:t xml:space="preserve">je nastavljen rad na sve tri aktivnosti. </w:t>
            </w:r>
          </w:p>
        </w:tc>
      </w:tr>
      <w:tr w:rsidR="007F5C07" w:rsidRPr="004F7E58" w14:paraId="4303683B" w14:textId="77777777" w:rsidTr="00DC7F97">
        <w:tc>
          <w:tcPr>
            <w:tcW w:w="9350" w:type="dxa"/>
          </w:tcPr>
          <w:p w14:paraId="0DA9B7F8" w14:textId="5D9D7883" w:rsidR="007F5C07" w:rsidRPr="004F7E58" w:rsidRDefault="00B24FE5" w:rsidP="00713D33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</w:t>
            </w:r>
            <w:r w:rsidR="007F5C07" w:rsidRPr="004F7E58">
              <w:rPr>
                <w:noProof/>
                <w:lang w:val="bs-Latn-BA"/>
              </w:rPr>
              <w:t>ezultat</w:t>
            </w:r>
            <w:r w:rsidR="00713D33" w:rsidRPr="004F7E58">
              <w:rPr>
                <w:noProof/>
                <w:lang w:val="bs-Latn-BA"/>
              </w:rPr>
              <w:t>i</w:t>
            </w:r>
            <w:r w:rsidR="007F5C07" w:rsidRPr="004F7E58">
              <w:rPr>
                <w:noProof/>
                <w:lang w:val="bs-Latn-BA"/>
              </w:rPr>
              <w:t xml:space="preserve"> mjere </w:t>
            </w:r>
            <w:r w:rsidR="00DF37C8" w:rsidRPr="004F7E58">
              <w:rPr>
                <w:noProof/>
                <w:lang w:val="bs-Latn-BA"/>
              </w:rPr>
              <w:t xml:space="preserve">za </w:t>
            </w:r>
            <w:r w:rsidR="00713D33" w:rsidRPr="004F7E58">
              <w:rPr>
                <w:noProof/>
                <w:lang w:val="bs-Latn-BA"/>
              </w:rPr>
              <w:t xml:space="preserve">sve tri </w:t>
            </w:r>
            <w:r w:rsidR="00DF37C8" w:rsidRPr="004F7E58">
              <w:rPr>
                <w:noProof/>
                <w:lang w:val="bs-Latn-BA"/>
              </w:rPr>
              <w:t>aktivnost</w:t>
            </w:r>
            <w:r w:rsidR="00713D33" w:rsidRPr="004F7E58">
              <w:rPr>
                <w:noProof/>
                <w:lang w:val="bs-Latn-BA"/>
              </w:rPr>
              <w:t>i su djelomično ostvarene</w:t>
            </w:r>
            <w:r w:rsidR="00C73D9F" w:rsidRPr="004F7E58">
              <w:rPr>
                <w:noProof/>
                <w:lang w:val="bs-Latn-BA"/>
              </w:rPr>
              <w:t>.</w:t>
            </w:r>
          </w:p>
        </w:tc>
      </w:tr>
    </w:tbl>
    <w:p w14:paraId="0D063B9E" w14:textId="77777777" w:rsidR="00826CDD" w:rsidRPr="004F7E58" w:rsidRDefault="00826CDD" w:rsidP="00826CDD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2E00E4" w:rsidRPr="004F7E58" w14:paraId="032F2B4A" w14:textId="77777777" w:rsidTr="007E3EA0">
        <w:trPr>
          <w:cantSplit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DF5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325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38C" w14:textId="4AA36614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E00E4" w:rsidRPr="004F7E58" w14:paraId="2F3CB616" w14:textId="77777777" w:rsidTr="00153387">
        <w:trPr>
          <w:cantSplit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58E0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5C8C" w14:textId="485B1559" w:rsidR="002E00E4" w:rsidRPr="004F7E58" w:rsidRDefault="0069540F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III.6.1 Poboljšanje pravnog okvira i procesa unutar institucija na svim nivoima vlasti u FBiH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8D492B" w14:textId="499E6AC2" w:rsidR="002E00E4" w:rsidRPr="004F7E58" w:rsidRDefault="00375AA9" w:rsidP="00375AA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toku</w:t>
            </w:r>
          </w:p>
        </w:tc>
      </w:tr>
      <w:tr w:rsidR="002E00E4" w:rsidRPr="004F7E58" w14:paraId="6571D725" w14:textId="77777777" w:rsidTr="00153387">
        <w:trPr>
          <w:cantSplit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3E10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BE03" w14:textId="2275C1D2" w:rsidR="002E00E4" w:rsidRPr="004F7E58" w:rsidRDefault="0069540F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III.6.A Povećan obim kandidovanih projekata javnih investicija koji ulaze u PIMIS sistem. Povećana vrijednost kandidovanih javnih projekata unutar FBiH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8D3689" w14:textId="6FE7CF37" w:rsidR="002E00E4" w:rsidRPr="004F7E58" w:rsidRDefault="00F6251D" w:rsidP="00375AA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Rezultat mjere </w:t>
            </w:r>
            <w:r w:rsidR="00375AA9" w:rsidRPr="004F7E58">
              <w:rPr>
                <w:noProof/>
                <w:lang w:val="bs-Latn-BA"/>
              </w:rPr>
              <w:t xml:space="preserve">djelomično </w:t>
            </w:r>
            <w:r w:rsidRPr="004F7E58">
              <w:rPr>
                <w:noProof/>
                <w:lang w:val="bs-Latn-BA"/>
              </w:rPr>
              <w:t>postignut</w:t>
            </w:r>
          </w:p>
        </w:tc>
      </w:tr>
      <w:tr w:rsidR="002E00E4" w:rsidRPr="004F7E58" w14:paraId="69B3EC27" w14:textId="77777777" w:rsidTr="007E3EA0">
        <w:trPr>
          <w:cantSplit/>
        </w:trPr>
        <w:tc>
          <w:tcPr>
            <w:tcW w:w="370" w:type="dxa"/>
            <w:tcBorders>
              <w:top w:val="single" w:sz="4" w:space="0" w:color="auto"/>
            </w:tcBorders>
          </w:tcPr>
          <w:p w14:paraId="5B579B2E" w14:textId="77777777" w:rsidR="002E00E4" w:rsidRPr="004F7E58" w:rsidRDefault="002E00E4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auto"/>
            </w:tcBorders>
          </w:tcPr>
          <w:p w14:paraId="78425C3A" w14:textId="29197385" w:rsidR="000478F6" w:rsidRPr="004F7E58" w:rsidRDefault="00FD74A1" w:rsidP="0003672D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K</w:t>
            </w:r>
            <w:r w:rsidR="0003672D" w:rsidRPr="004F7E58">
              <w:rPr>
                <w:lang w:val="bs-Latn-BA"/>
              </w:rPr>
              <w:t xml:space="preserve">rajem 2022. na snagu je stupila izmjenjena i dopunjena Uredba o načinu i kriterijima za pripremu, izradu i praćenje realizacije Programa javnih investicija (PJI) FBiH. Izmjene i dopune su bile usmjerene na usaglašavanje kalendara pripreme programa javnih investicija i definicija sa Zakonom o proračunima. Podignut je minimalni iznos (prag) koštanja projekta da bi bio kandidiran za PJI FBIH sa milion KM na dva miliona KM. Ujedno je proširen i dio koji definira imenovanje tima za implementaciju projekta, sastav i prihvatljive troškove koji se mogu plaćati iz projekta. </w:t>
            </w:r>
            <w:r w:rsidR="00CA11DE" w:rsidRPr="004F7E58">
              <w:rPr>
                <w:lang w:val="bs-Latn-BA"/>
              </w:rPr>
              <w:t xml:space="preserve">Ovim su ispunjene preporuke PIMA MMF iz 2018. </w:t>
            </w:r>
            <w:r w:rsidR="00C73D9F" w:rsidRPr="004F7E58">
              <w:rPr>
                <w:lang w:val="bs-Latn-BA"/>
              </w:rPr>
              <w:t xml:space="preserve">Uredba je usvojena početkom 2024. godine. </w:t>
            </w:r>
            <w:r w:rsidR="00C73D9F" w:rsidRPr="004F7E58">
              <w:rPr>
                <w:rStyle w:val="FootnoteReference"/>
                <w:lang w:val="bs-Latn-BA"/>
              </w:rPr>
              <w:footnoteReference w:id="3"/>
            </w:r>
          </w:p>
          <w:p w14:paraId="64464135" w14:textId="34807374" w:rsidR="00FD74A1" w:rsidRPr="004F7E58" w:rsidRDefault="00FD74A1" w:rsidP="00375AA9">
            <w:pPr>
              <w:pStyle w:val="NormalPFM1"/>
              <w:keepNext/>
              <w:rPr>
                <w:rStyle w:val="cf01"/>
                <w:rFonts w:ascii="Arial" w:eastAsiaTheme="majorEastAsia" w:hAnsi="Arial" w:cs="Arial"/>
                <w:sz w:val="22"/>
                <w:szCs w:val="22"/>
                <w:lang w:val="bs-Latn-BA"/>
              </w:rPr>
            </w:pPr>
            <w:r w:rsidRPr="004F7E58">
              <w:rPr>
                <w:noProof/>
                <w:lang w:val="bs-Latn-BA"/>
              </w:rPr>
              <w:t>Tokom</w:t>
            </w:r>
            <w:r w:rsidR="00375AA9" w:rsidRPr="004F7E58">
              <w:rPr>
                <w:lang w:val="bs-Latn-BA"/>
              </w:rPr>
              <w:t xml:space="preserve"> 2023. godin</w:t>
            </w:r>
            <w:r w:rsidRPr="004F7E58">
              <w:rPr>
                <w:lang w:val="bs-Latn-BA"/>
              </w:rPr>
              <w:t>e</w:t>
            </w:r>
            <w:r w:rsidR="00375AA9" w:rsidRPr="004F7E58">
              <w:rPr>
                <w:lang w:val="bs-Latn-BA"/>
              </w:rPr>
              <w:t xml:space="preserve">, </w:t>
            </w:r>
            <w:r w:rsidRPr="004F7E58">
              <w:rPr>
                <w:lang w:val="bs-Latn-BA"/>
              </w:rPr>
              <w:t>uz</w:t>
            </w:r>
            <w:r w:rsidR="00375AA9" w:rsidRPr="004F7E58">
              <w:rPr>
                <w:lang w:val="bs-Latn-BA"/>
              </w:rPr>
              <w:t xml:space="preserve"> podršk</w:t>
            </w:r>
            <w:r w:rsidRPr="004F7E58">
              <w:rPr>
                <w:lang w:val="bs-Latn-BA"/>
              </w:rPr>
              <w:t>u</w:t>
            </w:r>
            <w:r w:rsidR="00375AA9" w:rsidRPr="004F7E58">
              <w:rPr>
                <w:lang w:val="bs-Latn-BA"/>
              </w:rPr>
              <w:t xml:space="preserve"> tehničke pomoći </w:t>
            </w:r>
            <w:r w:rsidRPr="004F7E58">
              <w:rPr>
                <w:lang w:val="bs-Latn-BA"/>
              </w:rPr>
              <w:t>urađena je dalja dorada</w:t>
            </w:r>
            <w:r w:rsidR="00375AA9" w:rsidRPr="004F7E58">
              <w:rPr>
                <w:lang w:val="bs-Latn-BA"/>
              </w:rPr>
              <w:t xml:space="preserve"> Uredbe</w:t>
            </w:r>
            <w:r w:rsidRPr="004F7E58">
              <w:rPr>
                <w:lang w:val="bs-Latn-BA"/>
              </w:rPr>
              <w:t xml:space="preserve"> koja</w:t>
            </w:r>
            <w:r w:rsidR="00375AA9" w:rsidRPr="004F7E58">
              <w:rPr>
                <w:lang w:val="bs-Latn-BA"/>
              </w:rPr>
              <w:t xml:space="preserve"> </w:t>
            </w:r>
            <w:r w:rsidRPr="004F7E58">
              <w:rPr>
                <w:lang w:val="bs-Latn-BA"/>
              </w:rPr>
              <w:t>postavlja novi model evaluacije projekata, sa jedinstvenim kriterijima za razlikovanje zrelih od manje zrelih projekata u svrhu formiranja liste projekata koji su ocijenjeni i kvalifikovani za realizaciju.</w:t>
            </w:r>
            <w:r w:rsidRPr="004F7E58">
              <w:rPr>
                <w:rStyle w:val="cf01"/>
                <w:rFonts w:ascii="Arial" w:eastAsiaTheme="majorEastAsia" w:hAnsi="Arial" w:cs="Arial"/>
                <w:sz w:val="22"/>
                <w:szCs w:val="22"/>
                <w:lang w:val="bs-Latn-BA"/>
              </w:rPr>
              <w:t xml:space="preserve"> </w:t>
            </w:r>
          </w:p>
          <w:p w14:paraId="61E64C26" w14:textId="77777777" w:rsidR="00FD74A1" w:rsidRPr="004F7E58" w:rsidRDefault="00FD74A1" w:rsidP="00FD74A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Takođe su izrađeni nacrt Smjernica za podnosioce prijava (tj. smjernice za popunjavanje obrasca za procjenu projekta) i nacrt Smjernica za ocjenu projekata, koje bi trebala koristiti Komisija za upravljanje javnim nabavkama FBiH. </w:t>
            </w:r>
          </w:p>
          <w:p w14:paraId="4AE90D66" w14:textId="7D7D3E65" w:rsidR="0010007C" w:rsidRPr="004F7E58" w:rsidRDefault="00FD74A1" w:rsidP="00FD74A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Projekat tehničke pomoći EU </w:t>
            </w:r>
            <w:r w:rsidR="00510D84" w:rsidRPr="004F7E58">
              <w:rPr>
                <w:lang w:val="bs-Latn-BA"/>
              </w:rPr>
              <w:t>je</w:t>
            </w:r>
            <w:r w:rsidRPr="004F7E58">
              <w:rPr>
                <w:lang w:val="bs-Latn-BA"/>
              </w:rPr>
              <w:t xml:space="preserve"> završ</w:t>
            </w:r>
            <w:r w:rsidR="00510D84" w:rsidRPr="004F7E58">
              <w:rPr>
                <w:lang w:val="bs-Latn-BA"/>
              </w:rPr>
              <w:t>en</w:t>
            </w:r>
            <w:r w:rsidRPr="004F7E58">
              <w:rPr>
                <w:lang w:val="bs-Latn-BA"/>
              </w:rPr>
              <w:t xml:space="preserve"> 18. septembra 2024. godin</w:t>
            </w:r>
            <w:r w:rsidR="00510D84" w:rsidRPr="004F7E58">
              <w:rPr>
                <w:lang w:val="bs-Latn-BA"/>
              </w:rPr>
              <w:t>e. FMF planira tražiti dalju tehničku podršku za razvoj ove oblasti</w:t>
            </w:r>
          </w:p>
        </w:tc>
      </w:tr>
    </w:tbl>
    <w:p w14:paraId="5CDD3CC0" w14:textId="367775CD" w:rsidR="00D828C0" w:rsidRPr="004F7E58" w:rsidRDefault="00D828C0" w:rsidP="00B90274">
      <w:pPr>
        <w:rPr>
          <w:noProof/>
          <w:lang w:val="bs-Latn-BA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201"/>
        <w:gridCol w:w="2759"/>
      </w:tblGrid>
      <w:tr w:rsidR="002E00E4" w:rsidRPr="004F7E58" w14:paraId="2F9D7321" w14:textId="77777777" w:rsidTr="00D74950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B13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86BA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6AB5" w14:textId="53D1059D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F47388" w:rsidRPr="004F7E58" w14:paraId="6EA14D2B" w14:textId="77777777" w:rsidTr="00153387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7681" w14:textId="77777777" w:rsidR="00F47388" w:rsidRPr="004F7E58" w:rsidRDefault="00F47388" w:rsidP="00F4738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1192" w14:textId="4DDD778A" w:rsidR="00F47388" w:rsidRPr="004F7E58" w:rsidRDefault="00F47388" w:rsidP="00F4738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III.6.2 Izgradnja kapaciteta za planiranje, upravljanje i monitoring javnih investicija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667FEA8" w14:textId="0977D12E" w:rsidR="00F47388" w:rsidRPr="004F7E58" w:rsidRDefault="00F47388" w:rsidP="00F4738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F47388" w:rsidRPr="004F7E58" w14:paraId="4261FB04" w14:textId="77777777" w:rsidTr="00153387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82B" w14:textId="77777777" w:rsidR="00F47388" w:rsidRPr="004F7E58" w:rsidRDefault="00F47388" w:rsidP="00F4738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2AD" w14:textId="39CFF41B" w:rsidR="00F47388" w:rsidRPr="004F7E58" w:rsidRDefault="00F47388" w:rsidP="00F47388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III.6.B Ključni kadar za upravljanje projektima je prošao obuku i certificirani su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65F482" w14:textId="5B679109" w:rsidR="00F47388" w:rsidRPr="004F7E58" w:rsidRDefault="00F47388" w:rsidP="00F4738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2E00E4" w:rsidRPr="004F7E58" w14:paraId="176F8635" w14:textId="77777777" w:rsidTr="00D74950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43E78F7C" w14:textId="77777777" w:rsidR="002E00E4" w:rsidRPr="004F7E58" w:rsidRDefault="002E00E4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59ABCFC9" w14:textId="048E0BD6" w:rsidR="00834D45" w:rsidRPr="004F7E58" w:rsidRDefault="00556365" w:rsidP="00834D45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Tehnička podrška</w:t>
            </w:r>
            <w:r w:rsidR="00375AA9" w:rsidRPr="004F7E58">
              <w:rPr>
                <w:noProof/>
                <w:lang w:val="bs-Latn-BA"/>
              </w:rPr>
              <w:t xml:space="preserve"> isporučila je obuku za uposlene u Sektoru za dug i Sektoru za proračun</w:t>
            </w:r>
            <w:r w:rsidR="00F47388" w:rsidRPr="004F7E58">
              <w:rPr>
                <w:noProof/>
                <w:lang w:val="bs-Latn-BA"/>
              </w:rPr>
              <w:t xml:space="preserve"> FMF</w:t>
            </w:r>
            <w:r w:rsidR="00375AA9" w:rsidRPr="004F7E58">
              <w:rPr>
                <w:noProof/>
                <w:lang w:val="bs-Latn-BA"/>
              </w:rPr>
              <w:t xml:space="preserve">. </w:t>
            </w:r>
            <w:r w:rsidR="009A50C3" w:rsidRPr="004F7E58">
              <w:rPr>
                <w:noProof/>
                <w:lang w:val="bs-Latn-BA"/>
              </w:rPr>
              <w:t>Sredinom 2022. godine, o</w:t>
            </w:r>
            <w:r w:rsidR="00834D45" w:rsidRPr="004F7E58">
              <w:rPr>
                <w:noProof/>
                <w:lang w:val="bs-Latn-BA"/>
              </w:rPr>
              <w:t>držano je i s</w:t>
            </w:r>
            <w:r w:rsidR="00375AA9" w:rsidRPr="004F7E58">
              <w:rPr>
                <w:noProof/>
                <w:lang w:val="bs-Latn-BA"/>
              </w:rPr>
              <w:t xml:space="preserve">tudijsko putovanje u </w:t>
            </w:r>
            <w:r w:rsidR="009A50C3" w:rsidRPr="004F7E58">
              <w:rPr>
                <w:noProof/>
                <w:lang w:val="bs-Latn-BA"/>
              </w:rPr>
              <w:t xml:space="preserve">Republiku </w:t>
            </w:r>
            <w:r w:rsidR="00375AA9" w:rsidRPr="004F7E58">
              <w:rPr>
                <w:noProof/>
                <w:lang w:val="bs-Latn-BA"/>
              </w:rPr>
              <w:t>Slovačku.</w:t>
            </w:r>
            <w:r w:rsidRPr="004F7E58">
              <w:rPr>
                <w:noProof/>
                <w:lang w:val="bs-Latn-BA"/>
              </w:rPr>
              <w:t xml:space="preserve"> </w:t>
            </w:r>
            <w:r w:rsidR="00834D45" w:rsidRPr="004F7E58">
              <w:rPr>
                <w:noProof/>
                <w:lang w:val="bs-Latn-BA"/>
              </w:rPr>
              <w:t>Navedeno je doprinjelo razvoju kapaciteta uposlenih u FMF da, sa podrškom projetknih eksperata, stečena znanja prenesu na korisnike.</w:t>
            </w:r>
          </w:p>
          <w:p w14:paraId="7E590035" w14:textId="77777777" w:rsidR="00156552" w:rsidRPr="004F7E58" w:rsidRDefault="00156552" w:rsidP="000478F6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Tokom</w:t>
            </w:r>
            <w:r w:rsidR="009A50C3" w:rsidRPr="004F7E58">
              <w:rPr>
                <w:noProof/>
                <w:lang w:val="bs-Latn-BA"/>
              </w:rPr>
              <w:t xml:space="preserve"> 2023. je </w:t>
            </w:r>
            <w:r w:rsidRPr="004F7E58">
              <w:rPr>
                <w:noProof/>
                <w:lang w:val="bs-Latn-BA"/>
              </w:rPr>
              <w:t>provedena</w:t>
            </w:r>
            <w:r w:rsidR="009A50C3" w:rsidRPr="004F7E58">
              <w:rPr>
                <w:noProof/>
                <w:lang w:val="bs-Latn-BA"/>
              </w:rPr>
              <w:t xml:space="preserve"> petodnevna obuka na temu upravljanja projektima na F</w:t>
            </w:r>
            <w:r w:rsidR="000478F6" w:rsidRPr="004F7E58">
              <w:rPr>
                <w:noProof/>
                <w:lang w:val="bs-Latn-BA"/>
              </w:rPr>
              <w:t xml:space="preserve">akultetu organizacionih nauka </w:t>
            </w:r>
            <w:r w:rsidR="009A50C3" w:rsidRPr="004F7E58">
              <w:rPr>
                <w:noProof/>
                <w:lang w:val="bs-Latn-BA"/>
              </w:rPr>
              <w:t xml:space="preserve">Beograd, Republika Srbija. </w:t>
            </w:r>
            <w:r w:rsidRPr="004F7E58">
              <w:rPr>
                <w:noProof/>
                <w:lang w:val="bs-Latn-BA"/>
              </w:rPr>
              <w:t xml:space="preserve"> </w:t>
            </w:r>
          </w:p>
          <w:p w14:paraId="25786961" w14:textId="2C6F6337" w:rsidR="0010007C" w:rsidRPr="004F7E58" w:rsidRDefault="00510D84" w:rsidP="000478F6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O</w:t>
            </w:r>
            <w:r w:rsidR="001A36DA" w:rsidRPr="004F7E58">
              <w:rPr>
                <w:lang w:val="bs-Latn-BA"/>
              </w:rPr>
              <w:t>buk</w:t>
            </w:r>
            <w:r w:rsidRPr="004F7E58">
              <w:rPr>
                <w:lang w:val="bs-Latn-BA"/>
              </w:rPr>
              <w:t>a</w:t>
            </w:r>
            <w:r w:rsidR="001A36DA" w:rsidRPr="004F7E58">
              <w:rPr>
                <w:lang w:val="bs-Latn-BA"/>
              </w:rPr>
              <w:t xml:space="preserve"> krajnjih korisnika, uključujući i certifikaciju i razvoj saradnje između praktičara</w:t>
            </w:r>
            <w:r w:rsidRPr="004F7E58">
              <w:rPr>
                <w:lang w:val="bs-Latn-BA"/>
              </w:rPr>
              <w:t xml:space="preserve"> je obavljena do kraja 8. mjeseca 2024, uključujući i studijsko putovanje u Litvu.</w:t>
            </w:r>
          </w:p>
        </w:tc>
      </w:tr>
    </w:tbl>
    <w:p w14:paraId="1FEF06F3" w14:textId="2C7C5C2C" w:rsidR="002E00E4" w:rsidRPr="004F7E58" w:rsidRDefault="002E00E4" w:rsidP="00197BC6">
      <w:pPr>
        <w:rPr>
          <w:noProof/>
          <w:lang w:val="bs-Latn-BA"/>
        </w:rPr>
      </w:pPr>
    </w:p>
    <w:tbl>
      <w:tblPr>
        <w:tblStyle w:val="TableGrid"/>
        <w:tblW w:w="9475" w:type="dxa"/>
        <w:tblInd w:w="-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510"/>
        <w:gridCol w:w="6201"/>
        <w:gridCol w:w="2758"/>
      </w:tblGrid>
      <w:tr w:rsidR="002E00E4" w:rsidRPr="004F7E58" w14:paraId="31A4CE57" w14:textId="77777777" w:rsidTr="00D74950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EEC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6ACD" w14:textId="77777777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16DB" w14:textId="62730FDE" w:rsidR="002E00E4" w:rsidRPr="004F7E58" w:rsidRDefault="002E00E4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C76A11" w:rsidRPr="004F7E58" w14:paraId="1B6965E4" w14:textId="77777777" w:rsidTr="00153387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FF9" w14:textId="77777777" w:rsidR="00C76A11" w:rsidRPr="004F7E58" w:rsidRDefault="00C76A11" w:rsidP="00C76A1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80F" w14:textId="5DF65242" w:rsidR="00C76A11" w:rsidRPr="004F7E58" w:rsidRDefault="00C76A11" w:rsidP="00C76A1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III.6.3 Unaprjeđenje PIMIS IT sistema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3C4AE8F" w14:textId="2D58F1A7" w:rsidR="00C76A11" w:rsidRPr="004F7E58" w:rsidRDefault="00C76A11" w:rsidP="00C76A1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C76A11" w:rsidRPr="004F7E58" w14:paraId="3EE3E7E7" w14:textId="77777777" w:rsidTr="00153387">
        <w:trPr>
          <w:gridBefore w:val="1"/>
          <w:wBefore w:w="6" w:type="dxa"/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950" w14:textId="77777777" w:rsidR="00C76A11" w:rsidRPr="004F7E58" w:rsidRDefault="00C76A11" w:rsidP="00C76A1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F5B" w14:textId="5263A810" w:rsidR="00C76A11" w:rsidRPr="004F7E58" w:rsidRDefault="00C76A11" w:rsidP="00C76A11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III.6.C Novi/ unaprijeđeni PIMIS softver je funkcionalan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E88FDD" w14:textId="6336C115" w:rsidR="00C76A11" w:rsidRPr="004F7E58" w:rsidRDefault="00C76A11" w:rsidP="00C76A1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2E00E4" w:rsidRPr="004F7E58" w14:paraId="5DE05A81" w14:textId="77777777" w:rsidTr="00D74950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</w:tcBorders>
          </w:tcPr>
          <w:p w14:paraId="484461DC" w14:textId="77777777" w:rsidR="002E00E4" w:rsidRPr="004F7E58" w:rsidRDefault="002E00E4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59" w:type="dxa"/>
            <w:gridSpan w:val="2"/>
            <w:tcBorders>
              <w:top w:val="single" w:sz="4" w:space="0" w:color="auto"/>
            </w:tcBorders>
          </w:tcPr>
          <w:p w14:paraId="0BB3D0DF" w14:textId="49E88F6C" w:rsidR="001E4B90" w:rsidRPr="004F7E58" w:rsidRDefault="00C76A11" w:rsidP="00C76A1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Provedena je analiza zahtjeva</w:t>
            </w:r>
            <w:r w:rsidR="00177448" w:rsidRPr="004F7E58">
              <w:rPr>
                <w:lang w:val="bs-Latn-BA"/>
              </w:rPr>
              <w:t>/nedostataka</w:t>
            </w:r>
            <w:r w:rsidRPr="004F7E58">
              <w:rPr>
                <w:lang w:val="bs-Latn-BA"/>
              </w:rPr>
              <w:t xml:space="preserve"> prema informatici svih nivoa vlasti koje koriste PIMIS.</w:t>
            </w:r>
            <w:r w:rsidR="00177448" w:rsidRPr="004F7E58">
              <w:rPr>
                <w:lang w:val="bs-Latn-BA"/>
              </w:rPr>
              <w:t xml:space="preserve"> Prikupljene su informacije od korisnika o zahtjevima za poboljšanja</w:t>
            </w:r>
            <w:r w:rsidR="00106491" w:rsidRPr="004F7E58">
              <w:rPr>
                <w:lang w:val="bs-Latn-BA"/>
              </w:rPr>
              <w:t xml:space="preserve"> što je omogućilo da se ažuriraju korisnički zahtjevi kao dio šire projektne dokumentacije za ažuriranje sistema.</w:t>
            </w:r>
            <w:r w:rsidR="001E4B90" w:rsidRPr="004F7E58">
              <w:rPr>
                <w:lang w:val="bs-Latn-BA"/>
              </w:rPr>
              <w:t xml:space="preserve"> </w:t>
            </w:r>
          </w:p>
          <w:p w14:paraId="3F81B26A" w14:textId="77777777" w:rsidR="00510D84" w:rsidRPr="004F7E58" w:rsidRDefault="00156552" w:rsidP="00156552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Tokom 2023. godine je izrađen projektni zadatak za unaprjeđenje PIMIS sistema, i plan je da EU radi doradu sistema iz finansiranja koje je već odobreno</w:t>
            </w:r>
            <w:r w:rsidR="00510D84" w:rsidRPr="004F7E58">
              <w:rPr>
                <w:lang w:val="bs-Latn-BA"/>
              </w:rPr>
              <w:t>.</w:t>
            </w:r>
          </w:p>
          <w:p w14:paraId="026AFFB4" w14:textId="52BD5972" w:rsidR="0010007C" w:rsidRPr="004F7E58" w:rsidRDefault="00510D84" w:rsidP="00156552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Po zavrsetku projekta podrške  EU je preostala sredstva usmjerila za IT doradu PIMIS aplikacije. Početni sastanci su održani krajem 2024., i implementacija se očekuje tokom sljedece dvije godine. </w:t>
            </w:r>
          </w:p>
        </w:tc>
      </w:tr>
    </w:tbl>
    <w:p w14:paraId="357D5D08" w14:textId="2566CDA8" w:rsidR="00826CDD" w:rsidRPr="004F7E58" w:rsidRDefault="00826CDD" w:rsidP="00197BC6">
      <w:pPr>
        <w:rPr>
          <w:noProof/>
          <w:lang w:val="bs-Latn-BA"/>
        </w:rPr>
      </w:pPr>
    </w:p>
    <w:p w14:paraId="3CD0ACA7" w14:textId="42425836" w:rsidR="00826CDD" w:rsidRPr="004F7E58" w:rsidRDefault="00826CDD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lang w:val="bs-Latn-BA"/>
        </w:rPr>
      </w:pPr>
      <w:r w:rsidRPr="004F7E58">
        <w:rPr>
          <w:b/>
          <w:i w:val="0"/>
          <w:color w:val="C00000"/>
          <w:lang w:val="bs-Latn-BA"/>
        </w:rPr>
        <w:t>MJERA: III.</w:t>
      </w:r>
      <w:r w:rsidR="0069540F" w:rsidRPr="004F7E58">
        <w:rPr>
          <w:b/>
          <w:i w:val="0"/>
          <w:color w:val="C00000"/>
          <w:lang w:val="bs-Latn-BA"/>
        </w:rPr>
        <w:t>7</w:t>
      </w:r>
      <w:r w:rsidRPr="004F7E58">
        <w:rPr>
          <w:b/>
          <w:i w:val="0"/>
          <w:color w:val="C00000"/>
          <w:lang w:val="bs-Latn-BA"/>
        </w:rPr>
        <w:t xml:space="preserve">. </w:t>
      </w:r>
      <w:r w:rsidR="0069540F" w:rsidRPr="004F7E58">
        <w:rPr>
          <w:b/>
          <w:i w:val="0"/>
          <w:color w:val="C00000"/>
          <w:lang w:val="bs-Latn-BA"/>
        </w:rPr>
        <w:t>Uspostava struktura i kapaciteta za upravljanje sredstvima Evropske unije</w:t>
      </w:r>
    </w:p>
    <w:p w14:paraId="2C7C4AD3" w14:textId="77777777" w:rsidR="00826CDD" w:rsidRPr="004F7E58" w:rsidRDefault="00826CDD" w:rsidP="00826CDD">
      <w:pPr>
        <w:rPr>
          <w:b/>
          <w:lang w:val="bs-Latn-BA"/>
        </w:rPr>
      </w:pPr>
    </w:p>
    <w:p w14:paraId="374F576C" w14:textId="3E260264" w:rsidR="00826CDD" w:rsidRPr="004F7E58" w:rsidRDefault="00826CDD" w:rsidP="00826CDD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5C07" w:rsidRPr="004F7E58" w14:paraId="41124A60" w14:textId="77777777" w:rsidTr="00DC7F97">
        <w:tc>
          <w:tcPr>
            <w:tcW w:w="9350" w:type="dxa"/>
          </w:tcPr>
          <w:p w14:paraId="11428C6F" w14:textId="7EE55958" w:rsidR="007F5C07" w:rsidRPr="004F7E58" w:rsidRDefault="007F5C07" w:rsidP="00DC7F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mjere nije planiran početak aktivnosti.  </w:t>
            </w:r>
          </w:p>
        </w:tc>
      </w:tr>
      <w:tr w:rsidR="007F5C07" w:rsidRPr="004F7E58" w14:paraId="4F0CABF8" w14:textId="77777777" w:rsidTr="00DC7F97">
        <w:tc>
          <w:tcPr>
            <w:tcW w:w="9350" w:type="dxa"/>
          </w:tcPr>
          <w:p w14:paraId="75BC2CB9" w14:textId="6D9BC019" w:rsidR="007F5C07" w:rsidRPr="004F7E58" w:rsidRDefault="007F5C07" w:rsidP="00DC7F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Za ciljnu vrijednost rezultata mjere rok za realizaciju još nije istekao. </w:t>
            </w:r>
          </w:p>
        </w:tc>
      </w:tr>
    </w:tbl>
    <w:p w14:paraId="53368261" w14:textId="60D6CEA4" w:rsidR="007F5C07" w:rsidRPr="004F7E58" w:rsidRDefault="007F5C07" w:rsidP="00826CDD">
      <w:pPr>
        <w:rPr>
          <w:b/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556365" w:rsidRPr="004F7E58" w14:paraId="42F9C65B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A429" w14:textId="77777777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D56" w14:textId="77777777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1147" w14:textId="591F3161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510D8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556365" w:rsidRPr="004F7E58" w14:paraId="2ED378B1" w14:textId="77777777" w:rsidTr="00013FB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6AC0" w14:textId="77777777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0B7D" w14:textId="78C39FD9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III.7.1 Izrada mape puta za uspostavu struktura i kapaciteta za upravljanje sredstvima Evropske unije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475AF" w14:textId="2332997F" w:rsidR="00556365" w:rsidRPr="004F7E58" w:rsidRDefault="00556365" w:rsidP="001E4B9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</w:t>
            </w:r>
            <w:r w:rsidR="00254458" w:rsidRPr="004F7E58">
              <w:rPr>
                <w:noProof/>
                <w:lang w:val="bs-Latn-BA"/>
              </w:rPr>
              <w:t xml:space="preserve">nije </w:t>
            </w:r>
            <w:r w:rsidRPr="004F7E58">
              <w:rPr>
                <w:noProof/>
                <w:lang w:val="bs-Latn-BA"/>
              </w:rPr>
              <w:t xml:space="preserve">predviđeno u </w:t>
            </w:r>
            <w:r w:rsidR="001E4B90" w:rsidRPr="004F7E58">
              <w:rPr>
                <w:noProof/>
                <w:lang w:val="bs-Latn-BA"/>
              </w:rPr>
              <w:t>202</w:t>
            </w:r>
            <w:r w:rsidR="00510D84"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556365" w:rsidRPr="004F7E58" w14:paraId="198FEFB7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809" w14:textId="77777777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A8E" w14:textId="78601BA9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III.7.A Mapa puta izrađena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406A7" w14:textId="03B24E76" w:rsidR="00556365" w:rsidRPr="004F7E58" w:rsidRDefault="0055636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556365" w:rsidRPr="004F7E58" w14:paraId="22F450CE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1EBF80D" w14:textId="77777777" w:rsidR="00556365" w:rsidRPr="004F7E58" w:rsidRDefault="00556365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EC163DE" w14:textId="77777777" w:rsidR="00751733" w:rsidRPr="004F7E58" w:rsidRDefault="003F2431" w:rsidP="00751733">
            <w:pPr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</w:t>
            </w:r>
            <w:r w:rsidR="00A31818" w:rsidRPr="004F7E58">
              <w:rPr>
                <w:noProof/>
                <w:lang w:val="bs-Latn-BA"/>
              </w:rPr>
              <w:t xml:space="preserve"> </w:t>
            </w:r>
            <w:r w:rsidR="00751733" w:rsidRPr="004F7E58">
              <w:rPr>
                <w:noProof/>
                <w:lang w:val="bs-Latn-BA"/>
              </w:rPr>
              <w:t xml:space="preserve">FMF  traži donatorska sredstva za rad na ovoj aktivnosti. </w:t>
            </w:r>
          </w:p>
          <w:p w14:paraId="1497E9E2" w14:textId="026D1A4D" w:rsidR="00556365" w:rsidRPr="004F7E58" w:rsidRDefault="00556365" w:rsidP="00D74C3C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5B0D35BC" w14:textId="77777777" w:rsidR="002371EF" w:rsidRPr="004F7E58" w:rsidRDefault="002371EF">
      <w:pPr>
        <w:rPr>
          <w:noProof/>
          <w:lang w:val="bs-Latn-BA"/>
        </w:rPr>
      </w:pPr>
      <w:r w:rsidRPr="004F7E58">
        <w:rPr>
          <w:noProof/>
          <w:lang w:val="bs-Latn-BA"/>
        </w:rPr>
        <w:br w:type="page"/>
      </w:r>
    </w:p>
    <w:p w14:paraId="015510CD" w14:textId="67C7219B" w:rsidR="00C643CD" w:rsidRPr="004F7E58" w:rsidRDefault="00C643CD" w:rsidP="002371EF">
      <w:pPr>
        <w:pStyle w:val="Heading2"/>
        <w:numPr>
          <w:ilvl w:val="1"/>
          <w:numId w:val="31"/>
        </w:numPr>
        <w:rPr>
          <w:b/>
          <w:noProof/>
          <w:color w:val="C00000"/>
          <w:sz w:val="32"/>
          <w:lang w:val="bs-Latn-BA"/>
        </w:rPr>
      </w:pPr>
      <w:bookmarkStart w:id="25" w:name="_Toc214450231"/>
      <w:r w:rsidRPr="004F7E58">
        <w:rPr>
          <w:b/>
          <w:noProof/>
          <w:color w:val="C00000"/>
          <w:sz w:val="32"/>
          <w:lang w:val="bs-Latn-BA"/>
        </w:rPr>
        <w:lastRenderedPageBreak/>
        <w:t>Stub IV</w:t>
      </w:r>
      <w:r w:rsidR="00D97174" w:rsidRPr="004F7E58">
        <w:rPr>
          <w:b/>
          <w:noProof/>
          <w:color w:val="C00000"/>
          <w:sz w:val="32"/>
          <w:lang w:val="bs-Latn-BA"/>
        </w:rPr>
        <w:t xml:space="preserve">: </w:t>
      </w:r>
      <w:r w:rsidR="0069540F" w:rsidRPr="004F7E58">
        <w:rPr>
          <w:b/>
          <w:noProof/>
          <w:color w:val="C00000"/>
          <w:sz w:val="32"/>
          <w:lang w:val="bs-Latn-BA"/>
        </w:rPr>
        <w:t xml:space="preserve">IZVRŠENJE </w:t>
      </w:r>
      <w:r w:rsidR="001618D6" w:rsidRPr="004F7E58">
        <w:rPr>
          <w:b/>
          <w:noProof/>
          <w:color w:val="C00000"/>
          <w:sz w:val="32"/>
          <w:lang w:val="bs-Latn-BA"/>
        </w:rPr>
        <w:t>BUDŽETA</w:t>
      </w:r>
      <w:bookmarkEnd w:id="25"/>
    </w:p>
    <w:p w14:paraId="4711A478" w14:textId="77777777" w:rsidR="00185F2D" w:rsidRPr="004F7E58" w:rsidRDefault="00185F2D" w:rsidP="00185F2D">
      <w:pPr>
        <w:rPr>
          <w:lang w:val="bs-Latn-BA"/>
        </w:rPr>
      </w:pPr>
    </w:p>
    <w:p w14:paraId="0ADF5E0C" w14:textId="77777777" w:rsidR="00185F2D" w:rsidRPr="004F7E58" w:rsidRDefault="00185F2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26" w:name="_Toc214450232"/>
      <w:r w:rsidRPr="004F7E58">
        <w:rPr>
          <w:b/>
          <w:color w:val="C00000"/>
          <w:lang w:val="bs-Latn-BA"/>
        </w:rPr>
        <w:t>Cilj stuba</w:t>
      </w:r>
      <w:bookmarkEnd w:id="26"/>
    </w:p>
    <w:p w14:paraId="3627ACA8" w14:textId="77777777" w:rsidR="00185F2D" w:rsidRPr="004F7E58" w:rsidRDefault="00185F2D" w:rsidP="00185F2D">
      <w:pPr>
        <w:rPr>
          <w:lang w:val="bs-Latn-BA"/>
        </w:rPr>
      </w:pPr>
    </w:p>
    <w:p w14:paraId="609E165B" w14:textId="0D4AF697" w:rsidR="00AF1950" w:rsidRPr="004F7E58" w:rsidRDefault="00E06726" w:rsidP="00AF1950">
      <w:pPr>
        <w:pStyle w:val="NormalPFM1"/>
        <w:rPr>
          <w:lang w:val="bs-Latn-BA"/>
        </w:rPr>
      </w:pPr>
      <w:r w:rsidRPr="004F7E58">
        <w:rPr>
          <w:lang w:val="bs-Latn-BA"/>
        </w:rPr>
        <w:t>Osigurati efikasno i efektivno korištenje odobrenih budžetskih sredstava.</w:t>
      </w:r>
    </w:p>
    <w:p w14:paraId="0FE2B5B5" w14:textId="77777777" w:rsidR="00E06726" w:rsidRPr="004F7E58" w:rsidRDefault="00E06726" w:rsidP="00AF1950">
      <w:pPr>
        <w:pStyle w:val="NormalPFM1"/>
        <w:rPr>
          <w:noProof/>
          <w:lang w:val="bs-Latn-BA"/>
        </w:rPr>
      </w:pPr>
    </w:p>
    <w:p w14:paraId="2BCC9C04" w14:textId="208E7791" w:rsidR="00AF1950" w:rsidRPr="004F7E58" w:rsidRDefault="00355E6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27" w:name="_Toc214450233"/>
      <w:r w:rsidRPr="004F7E58">
        <w:rPr>
          <w:b/>
          <w:color w:val="C00000"/>
          <w:lang w:val="bs-Latn-BA"/>
        </w:rPr>
        <w:t>Ostvarenje</w:t>
      </w:r>
      <w:r w:rsidR="00AF1950" w:rsidRPr="004F7E58">
        <w:rPr>
          <w:b/>
          <w:color w:val="C00000"/>
          <w:lang w:val="bs-Latn-BA"/>
        </w:rPr>
        <w:t xml:space="preserve"> rezultata stu</w:t>
      </w:r>
      <w:r w:rsidR="006D067D" w:rsidRPr="004F7E58">
        <w:rPr>
          <w:b/>
          <w:color w:val="C00000"/>
          <w:lang w:val="bs-Latn-BA"/>
        </w:rPr>
        <w:t>b</w:t>
      </w:r>
      <w:r w:rsidR="00AF1950" w:rsidRPr="004F7E58">
        <w:rPr>
          <w:b/>
          <w:color w:val="C00000"/>
          <w:lang w:val="bs-Latn-BA"/>
        </w:rPr>
        <w:t xml:space="preserve">a u </w:t>
      </w:r>
      <w:r w:rsidR="005A26A9" w:rsidRPr="004F7E58">
        <w:rPr>
          <w:b/>
          <w:color w:val="C00000"/>
          <w:lang w:val="bs-Latn-BA"/>
        </w:rPr>
        <w:t>202</w:t>
      </w:r>
      <w:r w:rsidR="005D4CF2" w:rsidRPr="004F7E58">
        <w:rPr>
          <w:b/>
          <w:color w:val="C00000"/>
          <w:lang w:val="bs-Latn-BA"/>
        </w:rPr>
        <w:t>4</w:t>
      </w:r>
      <w:r w:rsidR="00AF1950" w:rsidRPr="004F7E58">
        <w:rPr>
          <w:b/>
          <w:color w:val="C00000"/>
          <w:lang w:val="bs-Latn-BA"/>
        </w:rPr>
        <w:t>. godini</w:t>
      </w:r>
      <w:bookmarkEnd w:id="27"/>
    </w:p>
    <w:p w14:paraId="638A2210" w14:textId="503A441E" w:rsidR="00AF1950" w:rsidRPr="004F7E58" w:rsidRDefault="00D8105C" w:rsidP="004F7E58">
      <w:pPr>
        <w:tabs>
          <w:tab w:val="left" w:pos="3540"/>
        </w:tabs>
        <w:rPr>
          <w:lang w:val="bs-Latn-BA"/>
        </w:rPr>
      </w:pPr>
      <w:r w:rsidRPr="004F7E58">
        <w:rPr>
          <w:lang w:val="bs-Latn-BA"/>
        </w:rPr>
        <w:tab/>
      </w:r>
    </w:p>
    <w:p w14:paraId="4549AD22" w14:textId="328B89D9" w:rsidR="00AF1950" w:rsidRPr="004F7E58" w:rsidRDefault="0013467E" w:rsidP="00AF1950">
      <w:pPr>
        <w:rPr>
          <w:strike/>
          <w:lang w:val="bs-Latn-BA"/>
        </w:rPr>
      </w:pPr>
      <w:r w:rsidRPr="004F7E58">
        <w:rPr>
          <w:lang w:val="bs-Latn-BA"/>
        </w:rPr>
        <w:t xml:space="preserve">Od tri </w:t>
      </w:r>
      <w:r w:rsidR="00321554" w:rsidRPr="004F7E58">
        <w:rPr>
          <w:lang w:val="bs-Latn-BA"/>
        </w:rPr>
        <w:t>rezultata stuba</w:t>
      </w:r>
      <w:r w:rsidRPr="004F7E58">
        <w:rPr>
          <w:lang w:val="bs-Latn-BA"/>
        </w:rPr>
        <w:t xml:space="preserve">, </w:t>
      </w:r>
      <w:r w:rsidR="00321554" w:rsidRPr="004F7E58">
        <w:rPr>
          <w:lang w:val="bs-Latn-BA"/>
        </w:rPr>
        <w:t>jedan je ostvaren u potpunosti u 2021. godini</w:t>
      </w:r>
      <w:r w:rsidR="004F57EE" w:rsidRPr="004F7E58">
        <w:rPr>
          <w:lang w:val="bs-Latn-BA"/>
        </w:rPr>
        <w:t>, ciljna vrijednost za drugi rezultat je ostvarena u 202</w:t>
      </w:r>
      <w:r w:rsidR="005D4CF2" w:rsidRPr="004F7E58">
        <w:rPr>
          <w:lang w:val="bs-Latn-BA"/>
        </w:rPr>
        <w:t>4</w:t>
      </w:r>
      <w:r w:rsidR="004F57EE" w:rsidRPr="004F7E58">
        <w:rPr>
          <w:lang w:val="bs-Latn-BA"/>
        </w:rPr>
        <w:t>. godini a za treći rezultat rok nije istekao.</w:t>
      </w:r>
      <w:r w:rsidRPr="004F7E58">
        <w:rPr>
          <w:strike/>
          <w:lang w:val="bs-Latn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535"/>
      </w:tblGrid>
      <w:tr w:rsidR="00AF1950" w:rsidRPr="004F7E58" w14:paraId="6DB3CC49" w14:textId="77777777" w:rsidTr="00963AD2">
        <w:trPr>
          <w:trHeight w:val="538"/>
        </w:trPr>
        <w:tc>
          <w:tcPr>
            <w:tcW w:w="5575" w:type="dxa"/>
            <w:vMerge w:val="restart"/>
            <w:vAlign w:val="center"/>
          </w:tcPr>
          <w:p w14:paraId="792B0790" w14:textId="7DDFD0C5" w:rsidR="00AF1950" w:rsidRPr="004F7E58" w:rsidRDefault="00963AD2" w:rsidP="00736605">
            <w:pPr>
              <w:jc w:val="center"/>
              <w:rPr>
                <w:noProof/>
              </w:rPr>
            </w:pPr>
            <w:r w:rsidRPr="004F7E58">
              <w:rPr>
                <w:noProof/>
              </w:rPr>
              <w:drawing>
                <wp:inline distT="0" distB="0" distL="0" distR="0" wp14:anchorId="26C1939F" wp14:editId="678456A6">
                  <wp:extent cx="2469960" cy="3048795"/>
                  <wp:effectExtent l="0" t="0" r="6985" b="18415"/>
                  <wp:docPr id="5" name="Chart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3240" w:type="dxa"/>
            <w:vAlign w:val="center"/>
          </w:tcPr>
          <w:p w14:paraId="02CE2896" w14:textId="77777777" w:rsidR="00AF1950" w:rsidRPr="004F7E58" w:rsidRDefault="00AF1950" w:rsidP="00736605">
            <w:pPr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Legenda</w:t>
            </w:r>
          </w:p>
        </w:tc>
        <w:tc>
          <w:tcPr>
            <w:tcW w:w="535" w:type="dxa"/>
            <w:vAlign w:val="center"/>
          </w:tcPr>
          <w:p w14:paraId="39F7ACFA" w14:textId="77777777" w:rsidR="00AF1950" w:rsidRPr="004F7E58" w:rsidRDefault="00AF1950" w:rsidP="00736605">
            <w:pPr>
              <w:jc w:val="center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#</w:t>
            </w:r>
          </w:p>
        </w:tc>
      </w:tr>
      <w:tr w:rsidR="00AF1950" w:rsidRPr="004F7E58" w14:paraId="1C765D14" w14:textId="77777777" w:rsidTr="00013FBB">
        <w:trPr>
          <w:trHeight w:val="538"/>
        </w:trPr>
        <w:tc>
          <w:tcPr>
            <w:tcW w:w="5575" w:type="dxa"/>
            <w:vMerge/>
            <w:vAlign w:val="center"/>
          </w:tcPr>
          <w:p w14:paraId="25B0F8B8" w14:textId="77777777" w:rsidR="00AF1950" w:rsidRPr="004F7E58" w:rsidRDefault="00AF1950" w:rsidP="00736605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11426969" w14:textId="77777777" w:rsidR="00AF1950" w:rsidRPr="004F7E58" w:rsidRDefault="00AF1950" w:rsidP="0073660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0000"/>
            <w:vAlign w:val="center"/>
          </w:tcPr>
          <w:p w14:paraId="3BD2AE52" w14:textId="77777777" w:rsidR="00AF1950" w:rsidRPr="004F7E58" w:rsidRDefault="00AF1950" w:rsidP="001333BC">
            <w:pPr>
              <w:rPr>
                <w:noProof/>
                <w:sz w:val="18"/>
              </w:rPr>
            </w:pPr>
          </w:p>
        </w:tc>
      </w:tr>
      <w:tr w:rsidR="00AF1950" w:rsidRPr="004F7E58" w14:paraId="4889F51D" w14:textId="77777777" w:rsidTr="00013FBB">
        <w:trPr>
          <w:trHeight w:val="538"/>
        </w:trPr>
        <w:tc>
          <w:tcPr>
            <w:tcW w:w="5575" w:type="dxa"/>
            <w:vMerge/>
          </w:tcPr>
          <w:p w14:paraId="03DD8137" w14:textId="77777777" w:rsidR="00AF1950" w:rsidRPr="004F7E58" w:rsidRDefault="00AF1950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63B2D041" w14:textId="77777777" w:rsidR="00AF1950" w:rsidRPr="004F7E58" w:rsidRDefault="00AF1950" w:rsidP="00736605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djelomično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E599" w:themeFill="accent4" w:themeFillTint="66"/>
            <w:vAlign w:val="center"/>
          </w:tcPr>
          <w:p w14:paraId="5DEC2D12" w14:textId="77777777" w:rsidR="00AF1950" w:rsidRPr="004F7E58" w:rsidRDefault="00AF1950" w:rsidP="001333BC">
            <w:pPr>
              <w:rPr>
                <w:noProof/>
                <w:sz w:val="18"/>
              </w:rPr>
            </w:pPr>
          </w:p>
        </w:tc>
      </w:tr>
      <w:tr w:rsidR="00AF1950" w:rsidRPr="004F7E58" w14:paraId="38C62540" w14:textId="77777777" w:rsidTr="00013FBB">
        <w:trPr>
          <w:trHeight w:val="538"/>
        </w:trPr>
        <w:tc>
          <w:tcPr>
            <w:tcW w:w="5575" w:type="dxa"/>
            <w:vMerge/>
          </w:tcPr>
          <w:p w14:paraId="6F8D30C0" w14:textId="77777777" w:rsidR="00AF1950" w:rsidRPr="004F7E58" w:rsidRDefault="00AF1950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16942013" w14:textId="77777777" w:rsidR="00AF1950" w:rsidRPr="004F7E58" w:rsidRDefault="00AF1950" w:rsidP="00736605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C5E0B3" w:themeFill="accent6" w:themeFillTint="66"/>
            <w:vAlign w:val="center"/>
          </w:tcPr>
          <w:p w14:paraId="4B9F4926" w14:textId="0E590A62" w:rsidR="00AF1950" w:rsidRPr="004F7E58" w:rsidRDefault="00963AD2" w:rsidP="00A24CA2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2</w:t>
            </w:r>
          </w:p>
        </w:tc>
      </w:tr>
      <w:tr w:rsidR="00AF1950" w:rsidRPr="004F7E58" w14:paraId="28A1A2E1" w14:textId="77777777" w:rsidTr="00013FBB">
        <w:trPr>
          <w:trHeight w:val="538"/>
        </w:trPr>
        <w:tc>
          <w:tcPr>
            <w:tcW w:w="5575" w:type="dxa"/>
            <w:vMerge/>
          </w:tcPr>
          <w:p w14:paraId="248FD80D" w14:textId="77777777" w:rsidR="00AF1950" w:rsidRPr="004F7E58" w:rsidRDefault="00AF1950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3D602F5C" w14:textId="77777777" w:rsidR="00AF1950" w:rsidRPr="004F7E58" w:rsidRDefault="00AF1950" w:rsidP="00736605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istekao</w:t>
            </w:r>
            <w:proofErr w:type="spellEnd"/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E059E96" w14:textId="5562EB0C" w:rsidR="00AF1950" w:rsidRPr="004F7E58" w:rsidRDefault="000519C4" w:rsidP="00A24CA2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1</w:t>
            </w:r>
          </w:p>
        </w:tc>
      </w:tr>
      <w:tr w:rsidR="00AF1950" w:rsidRPr="004F7E58" w14:paraId="30CE4EAC" w14:textId="77777777" w:rsidTr="00013FBB">
        <w:trPr>
          <w:trHeight w:val="538"/>
        </w:trPr>
        <w:tc>
          <w:tcPr>
            <w:tcW w:w="5575" w:type="dxa"/>
            <w:vMerge/>
          </w:tcPr>
          <w:p w14:paraId="5BF26907" w14:textId="77777777" w:rsidR="00AF1950" w:rsidRPr="004F7E58" w:rsidRDefault="00AF1950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7DB422D5" w14:textId="77777777" w:rsidR="00AF1950" w:rsidRPr="004F7E58" w:rsidRDefault="00AF1950" w:rsidP="00736605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definirana</w:t>
            </w:r>
            <w:proofErr w:type="spellEnd"/>
          </w:p>
        </w:tc>
        <w:tc>
          <w:tcPr>
            <w:tcW w:w="535" w:type="dxa"/>
            <w:shd w:val="clear" w:color="auto" w:fill="FFCCFF"/>
            <w:vAlign w:val="center"/>
          </w:tcPr>
          <w:p w14:paraId="02A937CC" w14:textId="77777777" w:rsidR="00AF1950" w:rsidRPr="004F7E58" w:rsidRDefault="00AF1950" w:rsidP="001333BC">
            <w:pPr>
              <w:rPr>
                <w:noProof/>
                <w:sz w:val="18"/>
              </w:rPr>
            </w:pPr>
          </w:p>
        </w:tc>
      </w:tr>
    </w:tbl>
    <w:p w14:paraId="75ACF3DA" w14:textId="77777777" w:rsidR="00AF1950" w:rsidRPr="004F7E58" w:rsidRDefault="00AF1950" w:rsidP="00AF1950">
      <w:pPr>
        <w:rPr>
          <w:noProof/>
        </w:rPr>
      </w:pPr>
    </w:p>
    <w:p w14:paraId="0713DB19" w14:textId="6EE5ED5F" w:rsidR="00AF1950" w:rsidRPr="004F7E58" w:rsidRDefault="00AF1950" w:rsidP="00AF1950">
      <w:pPr>
        <w:rPr>
          <w:noProof/>
        </w:rPr>
      </w:pPr>
      <w:r w:rsidRPr="004F7E58">
        <w:rPr>
          <w:noProof/>
        </w:rPr>
        <w:t>Ostvaren</w:t>
      </w:r>
      <w:r w:rsidR="004F57EE" w:rsidRPr="004F7E58">
        <w:rPr>
          <w:noProof/>
        </w:rPr>
        <w:t xml:space="preserve">a je jedna </w:t>
      </w:r>
      <w:r w:rsidR="000E3083" w:rsidRPr="004F7E58">
        <w:rPr>
          <w:noProof/>
        </w:rPr>
        <w:t>planir</w:t>
      </w:r>
      <w:r w:rsidR="004F57EE" w:rsidRPr="004F7E58">
        <w:rPr>
          <w:noProof/>
        </w:rPr>
        <w:t>a</w:t>
      </w:r>
      <w:r w:rsidR="000E3083" w:rsidRPr="004F7E58">
        <w:rPr>
          <w:noProof/>
        </w:rPr>
        <w:t>n</w:t>
      </w:r>
      <w:r w:rsidR="004F57EE" w:rsidRPr="004F7E58">
        <w:rPr>
          <w:noProof/>
        </w:rPr>
        <w:t>a ciljna</w:t>
      </w:r>
      <w:r w:rsidR="000E3083" w:rsidRPr="004F7E58">
        <w:rPr>
          <w:noProof/>
        </w:rPr>
        <w:t xml:space="preserve"> vrijednosti za 202</w:t>
      </w:r>
      <w:r w:rsidR="005D4CF2" w:rsidRPr="004F7E58">
        <w:rPr>
          <w:noProof/>
        </w:rPr>
        <w:t>4</w:t>
      </w:r>
      <w:r w:rsidR="00963AD2" w:rsidRPr="004F7E58">
        <w:rPr>
          <w:noProof/>
        </w:rPr>
        <w:t>.</w:t>
      </w:r>
      <w:r w:rsidR="000E3083" w:rsidRPr="004F7E58">
        <w:rPr>
          <w:noProof/>
        </w:rPr>
        <w:t xml:space="preserve"> godinu, </w:t>
      </w:r>
      <w:r w:rsidR="00800B02" w:rsidRPr="004F7E58">
        <w:rPr>
          <w:noProof/>
        </w:rPr>
        <w:t>i</w:t>
      </w:r>
      <w:r w:rsidR="000E3083" w:rsidRPr="004F7E58">
        <w:rPr>
          <w:noProof/>
        </w:rPr>
        <w:t xml:space="preserve"> </w:t>
      </w:r>
      <w:r w:rsidR="00963AD2" w:rsidRPr="004F7E58">
        <w:rPr>
          <w:noProof/>
        </w:rPr>
        <w:t xml:space="preserve">50 </w:t>
      </w:r>
      <w:r w:rsidR="000E3083" w:rsidRPr="004F7E58">
        <w:rPr>
          <w:noProof/>
        </w:rPr>
        <w:t xml:space="preserve">budžetskih korisnika </w:t>
      </w:r>
      <w:r w:rsidR="00963AD2" w:rsidRPr="004F7E58">
        <w:rPr>
          <w:noProof/>
        </w:rPr>
        <w:t xml:space="preserve">je </w:t>
      </w:r>
      <w:r w:rsidR="000519C4" w:rsidRPr="004F7E58">
        <w:rPr>
          <w:noProof/>
        </w:rPr>
        <w:t>elektronski povezan</w:t>
      </w:r>
      <w:r w:rsidR="00963AD2" w:rsidRPr="004F7E58">
        <w:rPr>
          <w:noProof/>
        </w:rPr>
        <w:t>o</w:t>
      </w:r>
      <w:r w:rsidR="000519C4" w:rsidRPr="004F7E58">
        <w:rPr>
          <w:noProof/>
        </w:rPr>
        <w:t xml:space="preserve"> sa trezorom. Rok</w:t>
      </w:r>
      <w:r w:rsidRPr="004F7E58">
        <w:rPr>
          <w:noProof/>
        </w:rPr>
        <w:t xml:space="preserve"> za realizaciju </w:t>
      </w:r>
      <w:r w:rsidR="000519C4" w:rsidRPr="004F7E58">
        <w:rPr>
          <w:noProof/>
        </w:rPr>
        <w:t xml:space="preserve">treće </w:t>
      </w:r>
      <w:r w:rsidRPr="004F7E58">
        <w:rPr>
          <w:noProof/>
        </w:rPr>
        <w:t>cilj</w:t>
      </w:r>
      <w:r w:rsidR="000519C4" w:rsidRPr="004F7E58">
        <w:rPr>
          <w:noProof/>
        </w:rPr>
        <w:t xml:space="preserve">ane </w:t>
      </w:r>
      <w:r w:rsidRPr="004F7E58">
        <w:rPr>
          <w:noProof/>
        </w:rPr>
        <w:t xml:space="preserve">vrijednosti stuba </w:t>
      </w:r>
      <w:r w:rsidR="00800B02" w:rsidRPr="004F7E58">
        <w:rPr>
          <w:noProof/>
        </w:rPr>
        <w:t xml:space="preserve">(smanjenje akumuliranog deficita) je postavljen za 2025. godinu i </w:t>
      </w:r>
      <w:r w:rsidRPr="004F7E58">
        <w:rPr>
          <w:noProof/>
        </w:rPr>
        <w:t>ni</w:t>
      </w:r>
      <w:r w:rsidR="000519C4" w:rsidRPr="004F7E58">
        <w:rPr>
          <w:noProof/>
        </w:rPr>
        <w:t>je istekao</w:t>
      </w:r>
      <w:r w:rsidRPr="004F7E58">
        <w:rPr>
          <w:noProof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46"/>
        <w:gridCol w:w="3065"/>
        <w:gridCol w:w="2016"/>
        <w:gridCol w:w="2323"/>
      </w:tblGrid>
      <w:tr w:rsidR="009A3A4C" w:rsidRPr="004F7E58" w14:paraId="55BDE66D" w14:textId="77777777" w:rsidTr="009A3A4C">
        <w:tc>
          <w:tcPr>
            <w:tcW w:w="1946" w:type="dxa"/>
            <w:shd w:val="clear" w:color="auto" w:fill="D9E2F3" w:themeFill="accent5" w:themeFillTint="33"/>
          </w:tcPr>
          <w:p w14:paraId="1034894E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Rezultat</w:t>
            </w:r>
          </w:p>
        </w:tc>
        <w:tc>
          <w:tcPr>
            <w:tcW w:w="3065" w:type="dxa"/>
            <w:shd w:val="clear" w:color="auto" w:fill="D9E2F3" w:themeFill="accent5" w:themeFillTint="33"/>
          </w:tcPr>
          <w:p w14:paraId="4A842271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Indikator</w:t>
            </w:r>
          </w:p>
        </w:tc>
        <w:tc>
          <w:tcPr>
            <w:tcW w:w="2016" w:type="dxa"/>
            <w:shd w:val="clear" w:color="auto" w:fill="D9E2F3" w:themeFill="accent5" w:themeFillTint="33"/>
          </w:tcPr>
          <w:p w14:paraId="4A2A303A" w14:textId="38F6B2A1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Ciljna vrijednost u 202</w:t>
            </w:r>
            <w:r w:rsidR="000570E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  <w:tc>
          <w:tcPr>
            <w:tcW w:w="2323" w:type="dxa"/>
            <w:shd w:val="clear" w:color="auto" w:fill="D9E2F3" w:themeFill="accent5" w:themeFillTint="33"/>
          </w:tcPr>
          <w:p w14:paraId="4F88FF7B" w14:textId="76EB7551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Ostvarenje u 202</w:t>
            </w:r>
            <w:r w:rsidR="000570E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9A3A4C" w:rsidRPr="004F7E58" w14:paraId="0558EC30" w14:textId="77777777" w:rsidTr="005E12D5">
        <w:tc>
          <w:tcPr>
            <w:tcW w:w="1946" w:type="dxa"/>
            <w:tcBorders>
              <w:bottom w:val="single" w:sz="4" w:space="0" w:color="auto"/>
            </w:tcBorders>
          </w:tcPr>
          <w:p w14:paraId="713DCE25" w14:textId="244F73DA" w:rsidR="009A3A4C" w:rsidRPr="004F7E58" w:rsidRDefault="00CB598B" w:rsidP="00B762A4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IV.A Dospjele neizmirene obaveze su smanjene u FBIH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6B1A4684" w14:textId="405A7842" w:rsidR="009A3A4C" w:rsidRPr="004F7E58" w:rsidRDefault="00CB598B" w:rsidP="00B762A4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IV.A.a Smanjenje akumuliranog deficita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A103780" w14:textId="0930C736" w:rsidR="009A3A4C" w:rsidRPr="004F7E58" w:rsidRDefault="00F16EA9" w:rsidP="00E537F3">
            <w:pPr>
              <w:pStyle w:val="NormalPFM1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 xml:space="preserve">Nije definisana za </w:t>
            </w:r>
            <w:r w:rsidR="00E537F3" w:rsidRPr="004F7E58">
              <w:rPr>
                <w:i/>
                <w:noProof/>
                <w:lang w:val="bs-Latn-BA"/>
              </w:rPr>
              <w:t>202</w:t>
            </w:r>
            <w:r w:rsidR="000570E6" w:rsidRPr="004F7E58">
              <w:rPr>
                <w:i/>
                <w:noProof/>
                <w:lang w:val="bs-Latn-BA"/>
              </w:rPr>
              <w:t>4</w:t>
            </w:r>
            <w:r w:rsidRPr="004F7E58">
              <w:rPr>
                <w:i/>
                <w:noProof/>
                <w:lang w:val="bs-Latn-BA"/>
              </w:rPr>
              <w:t>.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E2BF4" w14:textId="47BE64DB" w:rsidR="009A3A4C" w:rsidRPr="004F7E58" w:rsidRDefault="00F16EA9" w:rsidP="00B762A4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CB598B" w:rsidRPr="004F7E58" w14:paraId="3EBBDC6C" w14:textId="77777777" w:rsidTr="008C279E">
        <w:tc>
          <w:tcPr>
            <w:tcW w:w="1946" w:type="dxa"/>
            <w:tcBorders>
              <w:bottom w:val="single" w:sz="4" w:space="0" w:color="auto"/>
            </w:tcBorders>
          </w:tcPr>
          <w:p w14:paraId="12F8EF8D" w14:textId="096E7582" w:rsidR="00CB598B" w:rsidRPr="004F7E58" w:rsidRDefault="00CB598B" w:rsidP="00112527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IV.B Poboljšana efikasnost izvršenja budžeta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730AC046" w14:textId="54E86026" w:rsidR="00CB598B" w:rsidRPr="004F7E58" w:rsidRDefault="00CB598B" w:rsidP="00B762A4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IV.B.a Uvođenje novih modula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7E7F2547" w14:textId="6528D33E" w:rsidR="00CB598B" w:rsidRPr="004F7E58" w:rsidRDefault="00CB598B" w:rsidP="00B762A4">
            <w:pPr>
              <w:pStyle w:val="NormalPFM1"/>
              <w:jc w:val="left"/>
              <w:rPr>
                <w:i/>
                <w:noProof/>
                <w:lang w:val="bs-Latn-BA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00B050"/>
          </w:tcPr>
          <w:p w14:paraId="6EC60BB4" w14:textId="0DDFFB67" w:rsidR="00CB598B" w:rsidRPr="004F7E58" w:rsidRDefault="008C279E" w:rsidP="003120E8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Rezultat stuba ostvaren u </w:t>
            </w:r>
            <w:r w:rsidR="003120E8" w:rsidRPr="004F7E58">
              <w:rPr>
                <w:noProof/>
                <w:lang w:val="bs-Latn-BA"/>
              </w:rPr>
              <w:t xml:space="preserve">2021. </w:t>
            </w:r>
            <w:r w:rsidR="00800B02" w:rsidRPr="004F7E58">
              <w:rPr>
                <w:noProof/>
                <w:lang w:val="bs-Latn-BA"/>
              </w:rPr>
              <w:t xml:space="preserve"> </w:t>
            </w:r>
          </w:p>
        </w:tc>
      </w:tr>
      <w:tr w:rsidR="00510D84" w:rsidRPr="004F7E58" w14:paraId="519189F0" w14:textId="77777777" w:rsidTr="00013FBB">
        <w:tc>
          <w:tcPr>
            <w:tcW w:w="1946" w:type="dxa"/>
            <w:tcBorders>
              <w:bottom w:val="single" w:sz="4" w:space="0" w:color="auto"/>
            </w:tcBorders>
          </w:tcPr>
          <w:p w14:paraId="3BAF4C45" w14:textId="77777777" w:rsidR="00510D84" w:rsidRPr="004F7E58" w:rsidRDefault="00510D84" w:rsidP="00510D84">
            <w:pPr>
              <w:pStyle w:val="NormalPFM1"/>
              <w:jc w:val="left"/>
              <w:rPr>
                <w:noProof/>
                <w:lang w:val="bs-Latn-BA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4F0DD7EB" w14:textId="2A94A1BD" w:rsidR="00510D84" w:rsidRPr="004F7E58" w:rsidRDefault="00510D84" w:rsidP="00510D84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IV.B.b  Broj budžetskih korisnika koji su elektronski povezani sa trezorom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1213EF1" w14:textId="0B6D6E55" w:rsidR="00510D84" w:rsidRPr="004F7E58" w:rsidRDefault="00510D84" w:rsidP="00510D84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50, uvezano krajem 2024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537884F5" w14:textId="0C523802" w:rsidR="00510D84" w:rsidRPr="004F7E58" w:rsidRDefault="00510D84" w:rsidP="00510D84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Ciljna vrijednost ostvarena (50)</w:t>
            </w:r>
          </w:p>
        </w:tc>
      </w:tr>
      <w:tr w:rsidR="009A3A4C" w:rsidRPr="004F7E58" w14:paraId="0B2503B9" w14:textId="77777777" w:rsidTr="009A3A4C"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997EC" w14:textId="77777777" w:rsidR="009A3A4C" w:rsidRPr="004F7E58" w:rsidRDefault="009A3A4C" w:rsidP="00112527">
            <w:pPr>
              <w:pStyle w:val="NormalPFM1"/>
              <w:rPr>
                <w:lang w:val="bs-Latn-BA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96E91" w14:textId="6D565431" w:rsidR="00E537F3" w:rsidRPr="004F7E58" w:rsidRDefault="006D067D" w:rsidP="00112527">
            <w:pPr>
              <w:pStyle w:val="NormalPFM1"/>
              <w:rPr>
                <w:lang w:val="bs-Latn-BA"/>
              </w:rPr>
            </w:pPr>
            <w:r w:rsidRPr="004F7E58">
              <w:rPr>
                <w:lang w:val="bs-Latn-BA"/>
              </w:rPr>
              <w:t>M</w:t>
            </w:r>
            <w:r w:rsidR="00E537F3" w:rsidRPr="004F7E58">
              <w:rPr>
                <w:lang w:val="bs-Latn-BA"/>
              </w:rPr>
              <w:t xml:space="preserve">oduli </w:t>
            </w:r>
            <w:r w:rsidR="00C64F28" w:rsidRPr="004F7E58">
              <w:rPr>
                <w:lang w:val="bs-Latn-BA"/>
              </w:rPr>
              <w:t xml:space="preserve">potraživanja </w:t>
            </w:r>
            <w:r w:rsidR="008C279E" w:rsidRPr="004F7E58">
              <w:rPr>
                <w:lang w:val="bs-Latn-BA"/>
              </w:rPr>
              <w:t xml:space="preserve">(AR) </w:t>
            </w:r>
            <w:r w:rsidR="00C64F28" w:rsidRPr="004F7E58">
              <w:rPr>
                <w:lang w:val="bs-Latn-BA"/>
              </w:rPr>
              <w:t>i stalna sredstva</w:t>
            </w:r>
            <w:r w:rsidR="008C279E" w:rsidRPr="004F7E58">
              <w:rPr>
                <w:lang w:val="bs-Latn-BA"/>
              </w:rPr>
              <w:t xml:space="preserve"> (FA)</w:t>
            </w:r>
            <w:r w:rsidR="00C64F28" w:rsidRPr="004F7E58">
              <w:rPr>
                <w:lang w:val="bs-Latn-BA"/>
              </w:rPr>
              <w:t xml:space="preserve"> </w:t>
            </w:r>
            <w:r w:rsidRPr="004F7E58">
              <w:rPr>
                <w:lang w:val="bs-Latn-BA"/>
              </w:rPr>
              <w:t xml:space="preserve">su </w:t>
            </w:r>
            <w:r w:rsidR="00E537F3" w:rsidRPr="004F7E58">
              <w:rPr>
                <w:lang w:val="bs-Latn-BA"/>
              </w:rPr>
              <w:t xml:space="preserve">uvedeni u 2021. </w:t>
            </w:r>
            <w:r w:rsidRPr="004F7E58">
              <w:rPr>
                <w:lang w:val="bs-Latn-BA"/>
              </w:rPr>
              <w:t xml:space="preserve">godini. </w:t>
            </w:r>
          </w:p>
          <w:p w14:paraId="50F61233" w14:textId="78EAFB4B" w:rsidR="009A3A4C" w:rsidRPr="004F7E58" w:rsidRDefault="005D4CF2" w:rsidP="00112527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Svi korisnici koji su bili obuhvaćeni planom proširenja elektronskog pristupa trezoru su obučeni, dodijeljene su im licence i samostalno pristupaju trezorskoj aplikaciji. Dijeljene su licence za sve korisnike uvezane tokom 2024</w:t>
            </w:r>
            <w:r w:rsidR="00D8105C" w:rsidRPr="004F7E58">
              <w:rPr>
                <w:lang w:val="bs-Latn-BA"/>
              </w:rPr>
              <w:t>.</w:t>
            </w:r>
            <w:r w:rsidRPr="004F7E58">
              <w:rPr>
                <w:lang w:val="bs-Latn-BA"/>
              </w:rPr>
              <w:t xml:space="preserve"> i samostalno  pri</w:t>
            </w:r>
            <w:r w:rsidR="00D8105C" w:rsidRPr="004F7E58">
              <w:rPr>
                <w:lang w:val="bs-Latn-BA"/>
              </w:rPr>
              <w:t>s</w:t>
            </w:r>
            <w:r w:rsidRPr="004F7E58">
              <w:rPr>
                <w:lang w:val="bs-Latn-BA"/>
              </w:rPr>
              <w:t>tupaju trezorskoj aplikaciji.</w:t>
            </w:r>
          </w:p>
        </w:tc>
      </w:tr>
    </w:tbl>
    <w:p w14:paraId="2469BA6E" w14:textId="77777777" w:rsidR="00550E6E" w:rsidRPr="004F7E58" w:rsidRDefault="00550E6E" w:rsidP="00317457">
      <w:pPr>
        <w:rPr>
          <w:lang w:val="bs-Latn-BA"/>
        </w:rPr>
      </w:pPr>
    </w:p>
    <w:p w14:paraId="19D5A0F1" w14:textId="20412920" w:rsidR="00550E6E" w:rsidRPr="004F7E58" w:rsidRDefault="00F13B99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28" w:name="_Toc214450234"/>
      <w:r w:rsidRPr="004F7E58">
        <w:rPr>
          <w:b/>
          <w:color w:val="C00000"/>
          <w:lang w:val="bs-Latn-BA"/>
        </w:rPr>
        <w:t>Statistički pregled statusa aktivnosti i rezultata mjere</w:t>
      </w:r>
      <w:bookmarkEnd w:id="28"/>
    </w:p>
    <w:p w14:paraId="338BF393" w14:textId="77777777" w:rsidR="00550E6E" w:rsidRPr="004F7E58" w:rsidRDefault="00550E6E" w:rsidP="00550E6E">
      <w:pPr>
        <w:pStyle w:val="NormalPFM1"/>
        <w:rPr>
          <w:noProof/>
          <w:lang w:val="en-US" w:eastAsia="en-U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62"/>
        <w:gridCol w:w="3402"/>
        <w:gridCol w:w="355"/>
        <w:gridCol w:w="356"/>
        <w:gridCol w:w="3825"/>
        <w:gridCol w:w="425"/>
        <w:gridCol w:w="425"/>
      </w:tblGrid>
      <w:tr w:rsidR="00550E6E" w:rsidRPr="004F7E58" w14:paraId="191E0FA2" w14:textId="77777777" w:rsidTr="00013FBB">
        <w:trPr>
          <w:trHeight w:val="20"/>
        </w:trPr>
        <w:tc>
          <w:tcPr>
            <w:tcW w:w="562" w:type="dxa"/>
          </w:tcPr>
          <w:p w14:paraId="1B0C26D2" w14:textId="47B914D9" w:rsidR="00550E6E" w:rsidRPr="004F7E58" w:rsidRDefault="00550E6E" w:rsidP="00E9389F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.1</w:t>
            </w:r>
          </w:p>
        </w:tc>
        <w:tc>
          <w:tcPr>
            <w:tcW w:w="8788" w:type="dxa"/>
            <w:gridSpan w:val="6"/>
          </w:tcPr>
          <w:p w14:paraId="3C3A06A7" w14:textId="2EE05096" w:rsidR="00550E6E" w:rsidRPr="004F7E58" w:rsidRDefault="00FB2442" w:rsidP="00E9389F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Kontrola obaveza</w:t>
            </w:r>
          </w:p>
        </w:tc>
      </w:tr>
      <w:tr w:rsidR="00550E6E" w:rsidRPr="004F7E58" w14:paraId="0DB7C72F" w14:textId="77777777" w:rsidTr="00013FBB">
        <w:trPr>
          <w:trHeight w:val="20"/>
        </w:trPr>
        <w:tc>
          <w:tcPr>
            <w:tcW w:w="562" w:type="dxa"/>
          </w:tcPr>
          <w:p w14:paraId="314A80F6" w14:textId="2261A778" w:rsidR="00550E6E" w:rsidRPr="004F7E58" w:rsidRDefault="00550E6E" w:rsidP="00E9389F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.2</w:t>
            </w:r>
          </w:p>
        </w:tc>
        <w:tc>
          <w:tcPr>
            <w:tcW w:w="8788" w:type="dxa"/>
            <w:gridSpan w:val="6"/>
          </w:tcPr>
          <w:p w14:paraId="12421F4F" w14:textId="1215BEF9" w:rsidR="00550E6E" w:rsidRPr="004F7E58" w:rsidRDefault="00FB2442" w:rsidP="00E9389F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Rješavanje neizmirenih obaveza</w:t>
            </w:r>
          </w:p>
        </w:tc>
      </w:tr>
      <w:tr w:rsidR="00550E6E" w:rsidRPr="004F7E58" w14:paraId="634D5542" w14:textId="77777777" w:rsidTr="00013FBB">
        <w:trPr>
          <w:trHeight w:val="20"/>
        </w:trPr>
        <w:tc>
          <w:tcPr>
            <w:tcW w:w="562" w:type="dxa"/>
          </w:tcPr>
          <w:p w14:paraId="5E61135D" w14:textId="176269E2" w:rsidR="00550E6E" w:rsidRPr="004F7E58" w:rsidRDefault="00550E6E" w:rsidP="00E9389F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.3</w:t>
            </w:r>
          </w:p>
        </w:tc>
        <w:tc>
          <w:tcPr>
            <w:tcW w:w="8788" w:type="dxa"/>
            <w:gridSpan w:val="6"/>
          </w:tcPr>
          <w:p w14:paraId="4D30C6F4" w14:textId="41344168" w:rsidR="00550E6E" w:rsidRPr="004F7E58" w:rsidRDefault="00FB2442" w:rsidP="00E9389F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Upravljanje gotovinom</w:t>
            </w:r>
          </w:p>
        </w:tc>
      </w:tr>
      <w:tr w:rsidR="00550E6E" w:rsidRPr="004F7E58" w14:paraId="575F9548" w14:textId="77777777" w:rsidTr="00013FBB">
        <w:trPr>
          <w:trHeight w:val="20"/>
        </w:trPr>
        <w:tc>
          <w:tcPr>
            <w:tcW w:w="562" w:type="dxa"/>
          </w:tcPr>
          <w:p w14:paraId="28CC9DEB" w14:textId="3584BAED" w:rsidR="00550E6E" w:rsidRPr="004F7E58" w:rsidRDefault="00550E6E" w:rsidP="00E9389F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I</w:t>
            </w:r>
            <w:r w:rsidR="005730F2"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Pr="004F7E58">
              <w:rPr>
                <w:rFonts w:cs="Calibri"/>
                <w:noProof/>
                <w:sz w:val="20"/>
                <w:lang w:val="bs-Latn-BA"/>
              </w:rPr>
              <w:t>.4</w:t>
            </w:r>
          </w:p>
        </w:tc>
        <w:tc>
          <w:tcPr>
            <w:tcW w:w="8788" w:type="dxa"/>
            <w:gridSpan w:val="6"/>
          </w:tcPr>
          <w:p w14:paraId="4CD30B26" w14:textId="0D2A9A0D" w:rsidR="00550E6E" w:rsidRPr="004F7E58" w:rsidRDefault="00AF3102" w:rsidP="00E9389F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Jačanje upravljanja dugom</w:t>
            </w:r>
          </w:p>
        </w:tc>
      </w:tr>
      <w:tr w:rsidR="00AF3102" w:rsidRPr="004F7E58" w14:paraId="77B45ADF" w14:textId="77777777" w:rsidTr="00013FBB">
        <w:trPr>
          <w:trHeight w:val="20"/>
        </w:trPr>
        <w:tc>
          <w:tcPr>
            <w:tcW w:w="562" w:type="dxa"/>
          </w:tcPr>
          <w:p w14:paraId="30AF8304" w14:textId="1E311477" w:rsidR="00AF3102" w:rsidRPr="004F7E58" w:rsidRDefault="00AF3102" w:rsidP="00E9389F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IV.5</w:t>
            </w:r>
          </w:p>
        </w:tc>
        <w:tc>
          <w:tcPr>
            <w:tcW w:w="8788" w:type="dxa"/>
            <w:gridSpan w:val="6"/>
          </w:tcPr>
          <w:p w14:paraId="58420486" w14:textId="5BEAE26F" w:rsidR="00AF3102" w:rsidRPr="004F7E58" w:rsidRDefault="00AF3102" w:rsidP="00E9389F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Računovodstvo i finansijsko izvještavanje</w:t>
            </w:r>
          </w:p>
        </w:tc>
      </w:tr>
      <w:tr w:rsidR="00AF3102" w:rsidRPr="004F7E58" w14:paraId="7FEE2F70" w14:textId="77777777" w:rsidTr="00013FBB">
        <w:trPr>
          <w:trHeight w:val="20"/>
        </w:trPr>
        <w:tc>
          <w:tcPr>
            <w:tcW w:w="562" w:type="dxa"/>
          </w:tcPr>
          <w:p w14:paraId="03527DF1" w14:textId="63D933E8" w:rsidR="00AF3102" w:rsidRPr="004F7E58" w:rsidRDefault="00AF3102" w:rsidP="00E9389F">
            <w:pPr>
              <w:pStyle w:val="NormalPFM1"/>
              <w:spacing w:before="0" w:after="0" w:line="240" w:lineRule="auto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en-US"/>
              </w:rPr>
              <w:t>IV.6</w:t>
            </w:r>
          </w:p>
        </w:tc>
        <w:tc>
          <w:tcPr>
            <w:tcW w:w="8788" w:type="dxa"/>
            <w:gridSpan w:val="6"/>
          </w:tcPr>
          <w:p w14:paraId="0EB63A7B" w14:textId="07AF1C31" w:rsidR="00AF3102" w:rsidRPr="004F7E58" w:rsidRDefault="00AF3102" w:rsidP="00E9389F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en-US"/>
              </w:rPr>
            </w:pPr>
            <w:r w:rsidRPr="004F7E58">
              <w:rPr>
                <w:noProof/>
                <w:sz w:val="20"/>
                <w:szCs w:val="20"/>
                <w:lang w:val="en-US"/>
              </w:rPr>
              <w:t>Unapređenje IT sistema trezora</w:t>
            </w:r>
          </w:p>
        </w:tc>
      </w:tr>
      <w:tr w:rsidR="00550E6E" w:rsidRPr="004F7E58" w14:paraId="4E5DF5E6" w14:textId="77777777" w:rsidTr="00013FBB">
        <w:tc>
          <w:tcPr>
            <w:tcW w:w="9350" w:type="dxa"/>
            <w:gridSpan w:val="7"/>
          </w:tcPr>
          <w:p w14:paraId="08EEDB41" w14:textId="2F03825F" w:rsidR="00550E6E" w:rsidRPr="004F7E58" w:rsidRDefault="005E4D03" w:rsidP="004F7E58">
            <w:pPr>
              <w:pStyle w:val="NormalPFM1"/>
              <w:rPr>
                <w:noProof/>
                <w:lang w:val="bs-Latn-BA"/>
              </w:rPr>
            </w:pPr>
            <w:r w:rsidRPr="004F7E58">
              <w:t xml:space="preserve">U </w:t>
            </w:r>
            <w:proofErr w:type="spellStart"/>
            <w:r w:rsidRPr="004F7E58">
              <w:t>ovom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stubu</w:t>
            </w:r>
            <w:proofErr w:type="spellEnd"/>
            <w:r w:rsidRPr="004F7E58">
              <w:t xml:space="preserve"> od </w:t>
            </w:r>
            <w:r w:rsidR="00DC3DA2" w:rsidRPr="004F7E58">
              <w:t xml:space="preserve">16 </w:t>
            </w:r>
            <w:proofErr w:type="spellStart"/>
            <w:r w:rsidR="001547E2" w:rsidRPr="004F7E58">
              <w:t>planiran</w:t>
            </w:r>
            <w:r w:rsidR="00DC3DA2" w:rsidRPr="004F7E58">
              <w:t>ih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aktivnosti</w:t>
            </w:r>
            <w:proofErr w:type="spellEnd"/>
            <w:r w:rsidRPr="004F7E58">
              <w:t xml:space="preserve">, </w:t>
            </w:r>
            <w:proofErr w:type="spellStart"/>
            <w:r w:rsidR="00D0744B" w:rsidRPr="004F7E58">
              <w:t>dvije</w:t>
            </w:r>
            <w:proofErr w:type="spellEnd"/>
            <w:r w:rsidR="00D0744B" w:rsidRPr="004F7E58">
              <w:t xml:space="preserve"> </w:t>
            </w:r>
            <w:proofErr w:type="spellStart"/>
            <w:r w:rsidR="00D0744B" w:rsidRPr="004F7E58">
              <w:t>nisu</w:t>
            </w:r>
            <w:proofErr w:type="spellEnd"/>
            <w:r w:rsidR="00D0744B" w:rsidRPr="004F7E58">
              <w:t xml:space="preserve"> </w:t>
            </w:r>
            <w:proofErr w:type="spellStart"/>
            <w:r w:rsidRPr="004F7E58">
              <w:t>započet</w:t>
            </w:r>
            <w:r w:rsidR="00D0744B" w:rsidRPr="004F7E58">
              <w:t>e</w:t>
            </w:r>
            <w:proofErr w:type="spellEnd"/>
            <w:r w:rsidR="00D0744B" w:rsidRPr="004F7E58">
              <w:t xml:space="preserve"> u </w:t>
            </w:r>
            <w:proofErr w:type="spellStart"/>
            <w:r w:rsidR="00D0744B" w:rsidRPr="004F7E58">
              <w:t>roku</w:t>
            </w:r>
            <w:proofErr w:type="spellEnd"/>
            <w:r w:rsidRPr="004F7E58">
              <w:t xml:space="preserve">, </w:t>
            </w:r>
            <w:r w:rsidR="00DC3DA2" w:rsidRPr="004F7E58">
              <w:t xml:space="preserve">tri </w:t>
            </w:r>
            <w:proofErr w:type="spellStart"/>
            <w:r w:rsidR="00DC3DA2" w:rsidRPr="004F7E58">
              <w:t>su</w:t>
            </w:r>
            <w:proofErr w:type="spellEnd"/>
            <w:r w:rsidR="00DC3DA2" w:rsidRPr="004F7E58">
              <w:t xml:space="preserve"> </w:t>
            </w:r>
            <w:proofErr w:type="spellStart"/>
            <w:r w:rsidR="00DC3DA2" w:rsidRPr="004F7E58">
              <w:t>završene</w:t>
            </w:r>
            <w:proofErr w:type="spellEnd"/>
            <w:r w:rsidR="00DC3DA2" w:rsidRPr="004F7E58">
              <w:t xml:space="preserve"> u </w:t>
            </w:r>
            <w:proofErr w:type="spellStart"/>
            <w:r w:rsidR="00DC3DA2" w:rsidRPr="004F7E58">
              <w:t>prethodnom</w:t>
            </w:r>
            <w:proofErr w:type="spellEnd"/>
            <w:r w:rsidR="00DC3DA2" w:rsidRPr="004F7E58">
              <w:t xml:space="preserve"> </w:t>
            </w:r>
            <w:proofErr w:type="spellStart"/>
            <w:r w:rsidR="00D0744B" w:rsidRPr="004F7E58">
              <w:t>periodu</w:t>
            </w:r>
            <w:proofErr w:type="spellEnd"/>
            <w:r w:rsidR="00D0744B" w:rsidRPr="004F7E58">
              <w:t xml:space="preserve"> (</w:t>
            </w:r>
            <w:proofErr w:type="spellStart"/>
            <w:r w:rsidR="00D0744B" w:rsidRPr="004F7E58">
              <w:t>prije</w:t>
            </w:r>
            <w:proofErr w:type="spellEnd"/>
            <w:r w:rsidR="00D0744B" w:rsidRPr="004F7E58">
              <w:t xml:space="preserve"> 2024. </w:t>
            </w:r>
            <w:proofErr w:type="spellStart"/>
            <w:r w:rsidR="00D0744B" w:rsidRPr="004F7E58">
              <w:t>godine</w:t>
            </w:r>
            <w:proofErr w:type="spellEnd"/>
            <w:r w:rsidR="00D0744B" w:rsidRPr="004F7E58">
              <w:t>),</w:t>
            </w:r>
            <w:r w:rsidR="00DC3DA2" w:rsidRPr="004F7E58">
              <w:t xml:space="preserve"> </w:t>
            </w:r>
            <w:proofErr w:type="spellStart"/>
            <w:r w:rsidR="00DC3DA2" w:rsidRPr="004F7E58">
              <w:t>dok</w:t>
            </w:r>
            <w:proofErr w:type="spellEnd"/>
            <w:r w:rsidR="00DC3DA2" w:rsidRPr="004F7E58">
              <w:t xml:space="preserve"> je 10 u </w:t>
            </w:r>
            <w:proofErr w:type="spellStart"/>
            <w:r w:rsidR="00DC3DA2" w:rsidRPr="004F7E58">
              <w:t>toku</w:t>
            </w:r>
            <w:proofErr w:type="spellEnd"/>
            <w:r w:rsidR="00DC3DA2" w:rsidRPr="004F7E58">
              <w:t xml:space="preserve">. </w:t>
            </w:r>
            <w:proofErr w:type="spellStart"/>
            <w:r w:rsidR="00D0744B" w:rsidRPr="004F7E58">
              <w:rPr>
                <w:lang w:val="fr-FR"/>
              </w:rPr>
              <w:t>Jedna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C3DA2" w:rsidRPr="004F7E58">
              <w:rPr>
                <w:lang w:val="fr-FR"/>
              </w:rPr>
              <w:t>aktivnosti</w:t>
            </w:r>
            <w:proofErr w:type="spellEnd"/>
            <w:r w:rsidR="00DC3DA2" w:rsidRPr="004F7E58">
              <w:rPr>
                <w:lang w:val="fr-FR"/>
              </w:rPr>
              <w:t xml:space="preserve"> </w:t>
            </w:r>
            <w:r w:rsidR="00D0744B" w:rsidRPr="004F7E58">
              <w:rPr>
                <w:lang w:val="fr-FR"/>
              </w:rPr>
              <w:t xml:space="preserve">je </w:t>
            </w:r>
            <w:proofErr w:type="spellStart"/>
            <w:r w:rsidR="00DC3DA2" w:rsidRPr="004F7E58">
              <w:rPr>
                <w:lang w:val="fr-FR"/>
              </w:rPr>
              <w:t>planiran</w:t>
            </w:r>
            <w:r w:rsidR="00D0744B" w:rsidRPr="004F7E58">
              <w:rPr>
                <w:lang w:val="fr-FR"/>
              </w:rPr>
              <w:t>a</w:t>
            </w:r>
            <w:proofErr w:type="spellEnd"/>
            <w:r w:rsidR="00DC3DA2" w:rsidRPr="004F7E58">
              <w:rPr>
                <w:lang w:val="fr-FR"/>
              </w:rPr>
              <w:t xml:space="preserve"> </w:t>
            </w:r>
            <w:proofErr w:type="spellStart"/>
            <w:r w:rsidR="00DC3DA2" w:rsidRPr="004F7E58">
              <w:rPr>
                <w:lang w:val="fr-FR"/>
              </w:rPr>
              <w:t>za</w:t>
            </w:r>
            <w:proofErr w:type="spellEnd"/>
            <w:r w:rsidR="00DC3DA2" w:rsidRPr="004F7E58">
              <w:rPr>
                <w:lang w:val="fr-FR"/>
              </w:rPr>
              <w:t xml:space="preserve"> 2025.</w:t>
            </w:r>
            <w:r w:rsidRPr="004F7E58">
              <w:rPr>
                <w:lang w:val="fr-FR"/>
              </w:rPr>
              <w:t xml:space="preserve"> </w:t>
            </w:r>
            <w:proofErr w:type="spellStart"/>
            <w:proofErr w:type="gramStart"/>
            <w:r w:rsidR="00D0744B" w:rsidRPr="004F7E58">
              <w:rPr>
                <w:lang w:val="fr-FR"/>
              </w:rPr>
              <w:t>godinu</w:t>
            </w:r>
            <w:proofErr w:type="spellEnd"/>
            <w:proofErr w:type="gramEnd"/>
            <w:r w:rsidR="00D0744B" w:rsidRPr="004F7E58">
              <w:rPr>
                <w:lang w:val="fr-FR"/>
              </w:rPr>
              <w:t xml:space="preserve">. </w:t>
            </w:r>
            <w:r w:rsidR="00DC3DA2" w:rsidRPr="004F7E58">
              <w:rPr>
                <w:lang w:val="fr-FR"/>
              </w:rPr>
              <w:t>Tri</w:t>
            </w:r>
            <w:r w:rsidR="001547E2" w:rsidRPr="004F7E58">
              <w:rPr>
                <w:lang w:val="fr-FR"/>
              </w:rPr>
              <w:t xml:space="preserve"> </w:t>
            </w:r>
            <w:proofErr w:type="spellStart"/>
            <w:r w:rsidR="001547E2" w:rsidRPr="004F7E58">
              <w:rPr>
                <w:lang w:val="fr-FR"/>
              </w:rPr>
              <w:t>rezultat</w:t>
            </w:r>
            <w:r w:rsidR="00DC3DA2" w:rsidRPr="004F7E58">
              <w:rPr>
                <w:lang w:val="fr-FR"/>
              </w:rPr>
              <w:t>a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="00CB5B3E" w:rsidRPr="004F7E58">
              <w:rPr>
                <w:lang w:val="fr-FR"/>
              </w:rPr>
              <w:t>mjere</w:t>
            </w:r>
            <w:proofErr w:type="spellEnd"/>
            <w:r w:rsidR="00CB5B3E" w:rsidRPr="004F7E58">
              <w:rPr>
                <w:lang w:val="fr-FR"/>
              </w:rPr>
              <w:t xml:space="preserve"> </w:t>
            </w:r>
            <w:r w:rsidR="00DC3DA2" w:rsidRPr="004F7E58">
              <w:rPr>
                <w:lang w:val="fr-FR"/>
              </w:rPr>
              <w:t xml:space="preserve">su </w:t>
            </w:r>
            <w:proofErr w:type="spellStart"/>
            <w:r w:rsidR="001547E2" w:rsidRPr="004F7E58">
              <w:rPr>
                <w:lang w:val="fr-FR"/>
              </w:rPr>
              <w:t>postignut</w:t>
            </w:r>
            <w:r w:rsidR="00DC3DA2" w:rsidRPr="004F7E58">
              <w:rPr>
                <w:lang w:val="fr-FR"/>
              </w:rPr>
              <w:t>i</w:t>
            </w:r>
            <w:proofErr w:type="spellEnd"/>
            <w:r w:rsidRPr="004F7E58">
              <w:rPr>
                <w:lang w:val="fr-FR"/>
              </w:rPr>
              <w:t xml:space="preserve"> u </w:t>
            </w:r>
            <w:proofErr w:type="spellStart"/>
            <w:r w:rsidRPr="004F7E58">
              <w:rPr>
                <w:lang w:val="fr-FR"/>
              </w:rPr>
              <w:t>potpunosti</w:t>
            </w:r>
            <w:proofErr w:type="spellEnd"/>
            <w:r w:rsidRPr="004F7E58">
              <w:rPr>
                <w:lang w:val="fr-FR"/>
              </w:rPr>
              <w:t xml:space="preserve"> </w:t>
            </w:r>
            <w:r w:rsidR="00D0744B" w:rsidRPr="004F7E58">
              <w:rPr>
                <w:lang w:val="fr-FR"/>
              </w:rPr>
              <w:t xml:space="preserve">(u </w:t>
            </w:r>
            <w:proofErr w:type="spellStart"/>
            <w:r w:rsidR="00D0744B" w:rsidRPr="004F7E58">
              <w:rPr>
                <w:lang w:val="fr-FR"/>
              </w:rPr>
              <w:t>prethodnom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periodu</w:t>
            </w:r>
            <w:proofErr w:type="spellEnd"/>
            <w:r w:rsidR="00D0744B" w:rsidRPr="004F7E58">
              <w:rPr>
                <w:lang w:val="fr-FR"/>
              </w:rPr>
              <w:t xml:space="preserve">) i </w:t>
            </w:r>
            <w:r w:rsidR="00DC3DA2" w:rsidRPr="004F7E58">
              <w:rPr>
                <w:lang w:val="fr-FR"/>
              </w:rPr>
              <w:t>tri</w:t>
            </w:r>
            <w:r w:rsidR="001547E2" w:rsidRPr="004F7E58">
              <w:rPr>
                <w:lang w:val="fr-FR"/>
              </w:rPr>
              <w:t xml:space="preserve"> </w:t>
            </w:r>
            <w:proofErr w:type="spellStart"/>
            <w:r w:rsidR="001547E2" w:rsidRPr="004F7E58">
              <w:rPr>
                <w:lang w:val="fr-FR"/>
              </w:rPr>
              <w:t>rezultat</w:t>
            </w:r>
            <w:proofErr w:type="spellEnd"/>
            <w:r w:rsidR="00261F68"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djelimično</w:t>
            </w:r>
            <w:proofErr w:type="spellEnd"/>
            <w:r w:rsidRPr="004F7E58">
              <w:rPr>
                <w:lang w:val="fr-FR"/>
              </w:rPr>
              <w:t xml:space="preserve">. Za </w:t>
            </w:r>
            <w:proofErr w:type="spellStart"/>
            <w:r w:rsidR="001547E2" w:rsidRPr="004F7E58">
              <w:rPr>
                <w:lang w:val="fr-FR"/>
              </w:rPr>
              <w:t>jednu</w:t>
            </w:r>
            <w:proofErr w:type="spellEnd"/>
            <w:r w:rsidR="001547E2" w:rsidRPr="004F7E58">
              <w:rPr>
                <w:lang w:val="fr-FR"/>
              </w:rPr>
              <w:t xml:space="preserve"> </w:t>
            </w:r>
            <w:proofErr w:type="spellStart"/>
            <w:r w:rsidR="001547E2" w:rsidRPr="004F7E58">
              <w:rPr>
                <w:lang w:val="fr-FR"/>
              </w:rPr>
              <w:t>aktivnost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nije</w:t>
            </w:r>
            <w:proofErr w:type="spellEnd"/>
            <w:r w:rsidRPr="004F7E58">
              <w:rPr>
                <w:lang w:val="fr-FR"/>
              </w:rPr>
              <w:t xml:space="preserve"> bio </w:t>
            </w:r>
            <w:proofErr w:type="spellStart"/>
            <w:r w:rsidRPr="004F7E58">
              <w:rPr>
                <w:lang w:val="fr-FR"/>
              </w:rPr>
              <w:t>definisan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poseban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rezultat</w:t>
            </w:r>
            <w:proofErr w:type="spellEnd"/>
            <w:r w:rsidRPr="004F7E58">
              <w:rPr>
                <w:lang w:val="fr-FR"/>
              </w:rPr>
              <w:t xml:space="preserve">, </w:t>
            </w:r>
            <w:proofErr w:type="spellStart"/>
            <w:r w:rsidRPr="004F7E58">
              <w:rPr>
                <w:lang w:val="fr-FR"/>
              </w:rPr>
              <w:t>dok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za</w:t>
            </w:r>
            <w:proofErr w:type="spellEnd"/>
            <w:r w:rsidRPr="004F7E58">
              <w:rPr>
                <w:lang w:val="fr-FR"/>
              </w:rPr>
              <w:t xml:space="preserve"> </w:t>
            </w:r>
            <w:r w:rsidR="00D0744B" w:rsidRPr="004F7E58">
              <w:rPr>
                <w:lang w:val="fr-FR"/>
              </w:rPr>
              <w:t xml:space="preserve">7 </w:t>
            </w:r>
            <w:proofErr w:type="spellStart"/>
            <w:r w:rsidR="001547E2" w:rsidRPr="004F7E58">
              <w:rPr>
                <w:lang w:val="fr-FR"/>
              </w:rPr>
              <w:t>rezultata</w:t>
            </w:r>
            <w:proofErr w:type="spellEnd"/>
            <w:r w:rsidR="001547E2" w:rsidRPr="004F7E58">
              <w:rPr>
                <w:lang w:val="fr-FR"/>
              </w:rPr>
              <w:t xml:space="preserve"> </w:t>
            </w:r>
            <w:proofErr w:type="spellStart"/>
            <w:r w:rsidR="001547E2" w:rsidRPr="004F7E58">
              <w:rPr>
                <w:lang w:val="fr-FR"/>
              </w:rPr>
              <w:t>mjere</w:t>
            </w:r>
            <w:proofErr w:type="spellEnd"/>
            <w:r w:rsidR="001547E2"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rok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za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realizaciju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nije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istekao</w:t>
            </w:r>
            <w:proofErr w:type="spellEnd"/>
            <w:r w:rsidRPr="004F7E58">
              <w:rPr>
                <w:lang w:val="fr-FR"/>
              </w:rPr>
              <w:t>.</w:t>
            </w:r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Dva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rezultata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mjere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nisu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realizovana</w:t>
            </w:r>
            <w:proofErr w:type="spellEnd"/>
            <w:r w:rsidR="00D0744B" w:rsidRPr="004F7E58">
              <w:rPr>
                <w:lang w:val="fr-FR"/>
              </w:rPr>
              <w:t xml:space="preserve"> u </w:t>
            </w:r>
            <w:proofErr w:type="spellStart"/>
            <w:r w:rsidR="00D0744B" w:rsidRPr="004F7E58">
              <w:rPr>
                <w:lang w:val="fr-FR"/>
              </w:rPr>
              <w:t>prethodno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postavljenim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rokovima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koji</w:t>
            </w:r>
            <w:proofErr w:type="spellEnd"/>
            <w:r w:rsidR="00D0744B" w:rsidRPr="004F7E58">
              <w:rPr>
                <w:lang w:val="fr-FR"/>
              </w:rPr>
              <w:t xml:space="preserve"> se </w:t>
            </w:r>
            <w:proofErr w:type="spellStart"/>
            <w:r w:rsidR="00D0744B" w:rsidRPr="004F7E58">
              <w:rPr>
                <w:lang w:val="fr-FR"/>
              </w:rPr>
              <w:t>zato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prenose</w:t>
            </w:r>
            <w:proofErr w:type="spellEnd"/>
            <w:r w:rsidR="00D0744B" w:rsidRPr="004F7E58">
              <w:rPr>
                <w:lang w:val="fr-FR"/>
              </w:rPr>
              <w:t xml:space="preserve"> </w:t>
            </w:r>
            <w:proofErr w:type="spellStart"/>
            <w:r w:rsidR="00D0744B" w:rsidRPr="004F7E58">
              <w:rPr>
                <w:lang w:val="fr-FR"/>
              </w:rPr>
              <w:t>za</w:t>
            </w:r>
            <w:proofErr w:type="spellEnd"/>
            <w:r w:rsidR="00D0744B" w:rsidRPr="004F7E58">
              <w:rPr>
                <w:lang w:val="fr-FR"/>
              </w:rPr>
              <w:t xml:space="preserve"> 2025. </w:t>
            </w:r>
            <w:proofErr w:type="spellStart"/>
            <w:proofErr w:type="gramStart"/>
            <w:r w:rsidR="00D0744B" w:rsidRPr="004F7E58">
              <w:rPr>
                <w:lang w:val="fr-FR"/>
              </w:rPr>
              <w:t>godinu</w:t>
            </w:r>
            <w:proofErr w:type="spellEnd"/>
            <w:proofErr w:type="gramEnd"/>
            <w:r w:rsidR="00D0744B" w:rsidRPr="004F7E58">
              <w:rPr>
                <w:lang w:val="fr-FR"/>
              </w:rPr>
              <w:t>.</w:t>
            </w:r>
          </w:p>
        </w:tc>
      </w:tr>
      <w:tr w:rsidR="00550E6E" w:rsidRPr="004F7E58" w14:paraId="347F9879" w14:textId="77777777" w:rsidTr="004F7E58">
        <w:tc>
          <w:tcPr>
            <w:tcW w:w="4675" w:type="dxa"/>
            <w:gridSpan w:val="4"/>
            <w:shd w:val="clear" w:color="auto" w:fill="auto"/>
          </w:tcPr>
          <w:p w14:paraId="05AF559F" w14:textId="63C46742" w:rsidR="00550E6E" w:rsidRPr="004F7E58" w:rsidRDefault="00D0744B" w:rsidP="00E9389F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013D4CCE" wp14:editId="449BF1E4">
                  <wp:extent cx="2509806" cy="2368210"/>
                  <wp:effectExtent l="0" t="0" r="5080" b="13335"/>
                  <wp:docPr id="10" name="Chart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327458CE" w14:textId="00BA3868" w:rsidR="00550E6E" w:rsidRPr="004F7E58" w:rsidRDefault="00D0744B" w:rsidP="00E9389F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3178739E" wp14:editId="6D6EE568">
                  <wp:extent cx="2484521" cy="2368210"/>
                  <wp:effectExtent l="0" t="0" r="11430" b="13335"/>
                  <wp:docPr id="14" name="Chart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7F7C64" w:rsidRPr="004F7E58" w14:paraId="0230CE57" w14:textId="77777777" w:rsidTr="00013FBB">
        <w:tc>
          <w:tcPr>
            <w:tcW w:w="3964" w:type="dxa"/>
            <w:gridSpan w:val="2"/>
          </w:tcPr>
          <w:p w14:paraId="668A6740" w14:textId="031290B4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(ali predviđeno u 202</w:t>
            </w:r>
            <w:r w:rsidR="00963AD2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F0000"/>
          </w:tcPr>
          <w:p w14:paraId="66A7E06F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5159E887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013A5398" w14:textId="3D1EC20B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postignuta</w:t>
            </w:r>
          </w:p>
        </w:tc>
        <w:tc>
          <w:tcPr>
            <w:tcW w:w="425" w:type="dxa"/>
            <w:shd w:val="clear" w:color="auto" w:fill="FF0000"/>
          </w:tcPr>
          <w:p w14:paraId="35A5ABD0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2FBD09E1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4A4F6C49" w14:textId="77777777" w:rsidTr="00013FBB">
        <w:tc>
          <w:tcPr>
            <w:tcW w:w="3964" w:type="dxa"/>
            <w:gridSpan w:val="2"/>
          </w:tcPr>
          <w:p w14:paraId="25688BAA" w14:textId="2BFCC59F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963AD2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2F2F2" w:themeFill="background1" w:themeFillShade="F2"/>
          </w:tcPr>
          <w:p w14:paraId="36C2CB1B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69F6AD30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375EF73C" w14:textId="43349F66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  <w:tc>
          <w:tcPr>
            <w:tcW w:w="425" w:type="dxa"/>
            <w:shd w:val="clear" w:color="auto" w:fill="FFE599" w:themeFill="accent4" w:themeFillTint="66"/>
          </w:tcPr>
          <w:p w14:paraId="513F88BF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0D6DD9F6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1C6BB168" w14:textId="77777777" w:rsidTr="00013FBB">
        <w:tc>
          <w:tcPr>
            <w:tcW w:w="3964" w:type="dxa"/>
            <w:gridSpan w:val="2"/>
          </w:tcPr>
          <w:p w14:paraId="63FA1604" w14:textId="5E61284C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  <w:tc>
          <w:tcPr>
            <w:tcW w:w="355" w:type="dxa"/>
            <w:shd w:val="clear" w:color="auto" w:fill="FFE599" w:themeFill="accent4" w:themeFillTint="66"/>
          </w:tcPr>
          <w:p w14:paraId="0C2B8E11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7DF5EA41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5E28B5C6" w14:textId="38912109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5AD25800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5286E77E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13809037" w14:textId="77777777" w:rsidTr="000570E6">
        <w:tc>
          <w:tcPr>
            <w:tcW w:w="3964" w:type="dxa"/>
            <w:gridSpan w:val="2"/>
          </w:tcPr>
          <w:p w14:paraId="6A819415" w14:textId="699A5F5E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126197" w:rsidRPr="004F7E58">
              <w:rPr>
                <w:noProof/>
                <w:lang w:val="bs-Latn-BA"/>
              </w:rPr>
              <w:t>u 202</w:t>
            </w:r>
            <w:r w:rsidR="00963AD2" w:rsidRPr="004F7E58">
              <w:rPr>
                <w:noProof/>
                <w:lang w:val="bs-Latn-BA"/>
              </w:rPr>
              <w:t>4</w:t>
            </w:r>
          </w:p>
        </w:tc>
        <w:tc>
          <w:tcPr>
            <w:tcW w:w="355" w:type="dxa"/>
            <w:shd w:val="clear" w:color="auto" w:fill="C5E0B3" w:themeFill="accent6" w:themeFillTint="66"/>
          </w:tcPr>
          <w:p w14:paraId="081AD767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color w:val="FFFF00"/>
                <w:lang w:val="bs-Latn-BA"/>
              </w:rPr>
            </w:pPr>
          </w:p>
        </w:tc>
        <w:tc>
          <w:tcPr>
            <w:tcW w:w="356" w:type="dxa"/>
          </w:tcPr>
          <w:p w14:paraId="08C641DE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38D9A502" w14:textId="7F16FA56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09C22E2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50F2F3D2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17F4A145" w14:textId="77777777" w:rsidTr="000570E6">
        <w:tc>
          <w:tcPr>
            <w:tcW w:w="3964" w:type="dxa"/>
            <w:gridSpan w:val="2"/>
          </w:tcPr>
          <w:p w14:paraId="4629480D" w14:textId="12045A75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iz prethodnog perioda</w:t>
            </w:r>
          </w:p>
        </w:tc>
        <w:tc>
          <w:tcPr>
            <w:tcW w:w="355" w:type="dxa"/>
            <w:shd w:val="clear" w:color="auto" w:fill="00B050"/>
          </w:tcPr>
          <w:p w14:paraId="38BDEBCC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690BB91D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01C97CBC" w14:textId="728D7635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definirana</w:t>
            </w:r>
          </w:p>
        </w:tc>
        <w:tc>
          <w:tcPr>
            <w:tcW w:w="425" w:type="dxa"/>
            <w:shd w:val="clear" w:color="auto" w:fill="FFCCFF"/>
          </w:tcPr>
          <w:p w14:paraId="29C2DAB1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334C7A17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6E554781" w14:textId="77777777" w:rsidTr="000570E6">
        <w:tc>
          <w:tcPr>
            <w:tcW w:w="3964" w:type="dxa"/>
            <w:gridSpan w:val="2"/>
          </w:tcPr>
          <w:p w14:paraId="1EDB9089" w14:textId="37FCCC16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5" w:type="dxa"/>
          </w:tcPr>
          <w:p w14:paraId="6844A1A6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2BFA3AE4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39B211A6" w14:textId="1F6CF367" w:rsidR="007F7C64" w:rsidRPr="004F7E58" w:rsidRDefault="007F7C64" w:rsidP="007F7C64">
            <w:pPr>
              <w:pStyle w:val="NormalPFM1"/>
              <w:spacing w:before="0" w:after="0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 u prethodnom periodu</w:t>
            </w:r>
          </w:p>
        </w:tc>
        <w:tc>
          <w:tcPr>
            <w:tcW w:w="425" w:type="dxa"/>
            <w:shd w:val="clear" w:color="auto" w:fill="00B050"/>
          </w:tcPr>
          <w:p w14:paraId="7F5BD874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018BE177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</w:tbl>
    <w:p w14:paraId="115B9CFA" w14:textId="77777777" w:rsidR="00736605" w:rsidRPr="004F7E58" w:rsidRDefault="00736605" w:rsidP="005F1F35">
      <w:pPr>
        <w:rPr>
          <w:lang w:val="bs-Latn-BA" w:eastAsia="zh-CN"/>
        </w:rPr>
      </w:pPr>
    </w:p>
    <w:p w14:paraId="67427E73" w14:textId="4B9462A9" w:rsidR="00AF1950" w:rsidRPr="004F7E58" w:rsidRDefault="00AF1950" w:rsidP="002371EF">
      <w:pPr>
        <w:pStyle w:val="Heading4"/>
        <w:numPr>
          <w:ilvl w:val="3"/>
          <w:numId w:val="31"/>
        </w:numPr>
        <w:rPr>
          <w:b/>
          <w:i w:val="0"/>
          <w:color w:val="C00000"/>
          <w:sz w:val="24"/>
        </w:rPr>
      </w:pPr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 xml:space="preserve"> IV.</w:t>
      </w:r>
      <w:r w:rsidR="00AF3102" w:rsidRPr="004F7E58">
        <w:rPr>
          <w:b/>
          <w:i w:val="0"/>
          <w:color w:val="C00000"/>
          <w:sz w:val="24"/>
        </w:rPr>
        <w:t>1</w:t>
      </w:r>
      <w:r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AF3102" w:rsidRPr="004F7E58">
        <w:rPr>
          <w:b/>
          <w:i w:val="0"/>
          <w:color w:val="C00000"/>
          <w:sz w:val="24"/>
        </w:rPr>
        <w:t>Kontrola</w:t>
      </w:r>
      <w:proofErr w:type="spellEnd"/>
      <w:r w:rsidR="00AF3102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AF3102" w:rsidRPr="004F7E58">
        <w:rPr>
          <w:b/>
          <w:i w:val="0"/>
          <w:color w:val="C00000"/>
          <w:sz w:val="24"/>
        </w:rPr>
        <w:t>obaveza</w:t>
      </w:r>
      <w:proofErr w:type="spellEnd"/>
    </w:p>
    <w:p w14:paraId="7CFA01E7" w14:textId="77777777" w:rsidR="00AF1950" w:rsidRPr="004F7E58" w:rsidRDefault="00AF1950" w:rsidP="00AF1950">
      <w:pPr>
        <w:rPr>
          <w:b/>
        </w:rPr>
      </w:pPr>
    </w:p>
    <w:p w14:paraId="1E27EBFD" w14:textId="05A7DD67" w:rsidR="00AF1950" w:rsidRPr="004F7E58" w:rsidRDefault="00AF1950" w:rsidP="00AF195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3350C" w:rsidRPr="004F7E58" w14:paraId="0F4DA99A" w14:textId="77777777" w:rsidTr="00DC7F97">
        <w:tc>
          <w:tcPr>
            <w:tcW w:w="9350" w:type="dxa"/>
          </w:tcPr>
          <w:p w14:paraId="64579721" w14:textId="5EB29C7B" w:rsidR="00D3350C" w:rsidRPr="004F7E58" w:rsidRDefault="00B86939" w:rsidP="0052381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Obje aktivnosti su </w:t>
            </w:r>
            <w:r w:rsidR="00D3350C" w:rsidRPr="004F7E58">
              <w:rPr>
                <w:noProof/>
                <w:lang w:val="bs-Latn-BA"/>
              </w:rPr>
              <w:t>završen</w:t>
            </w:r>
            <w:r w:rsidRPr="004F7E58">
              <w:rPr>
                <w:noProof/>
                <w:lang w:val="bs-Latn-BA"/>
              </w:rPr>
              <w:t xml:space="preserve">e u prethodnom periodu (2021 – 2022). </w:t>
            </w:r>
          </w:p>
        </w:tc>
      </w:tr>
      <w:tr w:rsidR="00D3350C" w:rsidRPr="004F7E58" w14:paraId="3A505B48" w14:textId="77777777" w:rsidTr="00DC7F97">
        <w:tc>
          <w:tcPr>
            <w:tcW w:w="9350" w:type="dxa"/>
          </w:tcPr>
          <w:p w14:paraId="31703FE7" w14:textId="7E3B4657" w:rsidR="00D3350C" w:rsidRPr="004F7E58" w:rsidRDefault="008A37A9" w:rsidP="0052381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Ostvarena su oba rezultata mjere </w:t>
            </w:r>
          </w:p>
        </w:tc>
      </w:tr>
    </w:tbl>
    <w:p w14:paraId="13E5721E" w14:textId="77777777" w:rsidR="00D3350C" w:rsidRPr="004F7E58" w:rsidRDefault="00D3350C" w:rsidP="00AF1950">
      <w:pPr>
        <w:rPr>
          <w:b/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AF1950" w:rsidRPr="004F7E58" w14:paraId="161FF9BA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ABC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2B8D" w14:textId="68B14D95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E1E" w14:textId="752E0F5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071E5F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071E5F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8B0CD9" w:rsidRPr="004F7E58" w14:paraId="40ABD9B7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A38" w14:textId="77777777" w:rsidR="008B0CD9" w:rsidRPr="004F7E58" w:rsidRDefault="008B0CD9" w:rsidP="008B0CD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E248" w14:textId="47C40D63" w:rsidR="008B0CD9" w:rsidRPr="004F7E58" w:rsidRDefault="008B0CD9" w:rsidP="008B0CD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IV.1.1 Provođenje edukacije korisnika o korištenju modula narudžbenice (rezervacije u sistemu za javne nabavke)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155B920" w14:textId="3863460E" w:rsidR="008B0CD9" w:rsidRPr="004F7E58" w:rsidRDefault="008B0CD9" w:rsidP="008B0CD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2021. godini</w:t>
            </w:r>
          </w:p>
        </w:tc>
      </w:tr>
      <w:tr w:rsidR="00AF1950" w:rsidRPr="004F7E58" w14:paraId="019F212A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A33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CC68" w14:textId="15EACEB5" w:rsidR="00AF1950" w:rsidRPr="004F7E58" w:rsidRDefault="00BF0B07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IV.1.A Korisnici koriste model narudžbenice kod rezervacije sredstava.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F4F55E5" w14:textId="73D7159B" w:rsidR="00AF1950" w:rsidRPr="004F7E58" w:rsidRDefault="00BF0B07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potpuno postignut</w:t>
            </w:r>
          </w:p>
        </w:tc>
      </w:tr>
      <w:tr w:rsidR="00AF1950" w:rsidRPr="004F7E58" w14:paraId="3EF41275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0C809BF" w14:textId="77777777" w:rsidR="00AF1950" w:rsidRPr="004F7E58" w:rsidRDefault="00AF1950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6694F54" w14:textId="77777777" w:rsidR="00AF1950" w:rsidRPr="004F7E58" w:rsidRDefault="00BF0B07" w:rsidP="007A2B2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Korisnici koriste modul narudžbenice, i kreirana je mogućnost da se fakture unose bez unosa narudžbenice za tekuće račune koji ne podliježu javnim nabavkama. Korisnici koji rade javne nabavke su ograničeni iznosom operativnog budzeta i potrebno je uskladiti pristup sa Sektorom za budžet. </w:t>
            </w:r>
            <w:r w:rsidR="00AE0024" w:rsidRPr="004F7E58">
              <w:rPr>
                <w:lang w:val="bs-Latn-BA"/>
              </w:rPr>
              <w:t xml:space="preserve">Analiza je pokazala da nije potrebno provoditi edukaciju nego promijeniti pristup radu aplikacije, čime je cilj aktivnosti postignut, mada ne kroz planirane podaktivnosti. </w:t>
            </w:r>
          </w:p>
          <w:p w14:paraId="5D2A6867" w14:textId="79F58DB8" w:rsidR="00D82FAB" w:rsidRPr="004F7E58" w:rsidRDefault="00D82FAB" w:rsidP="0052381E">
            <w:pPr>
              <w:pStyle w:val="NormalPFM1"/>
              <w:keepNext/>
              <w:rPr>
                <w:lang w:val="bs-Latn-BA"/>
              </w:rPr>
            </w:pPr>
          </w:p>
        </w:tc>
      </w:tr>
      <w:tr w:rsidR="00AF1950" w:rsidRPr="004F7E58" w14:paraId="653CAC9C" w14:textId="77777777" w:rsidTr="00F77B9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71F3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522" w14:textId="3D50D746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697D" w14:textId="4B167691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071E5F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071E5F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B86939" w:rsidRPr="004F7E58" w14:paraId="677EFFF0" w14:textId="77777777" w:rsidTr="00B8693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D275" w14:textId="77777777" w:rsidR="00B86939" w:rsidRPr="004F7E58" w:rsidRDefault="00B86939" w:rsidP="00B8693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105" w14:textId="43DBD82C" w:rsidR="00B86939" w:rsidRPr="004F7E58" w:rsidRDefault="00B86939" w:rsidP="00B8693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IV.1.2 Širenje korištenja aplikacije kroz dodjelu licenci drugim korisnicima aplikacije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C5DD9F2" w14:textId="01B7D271" w:rsidR="00B86939" w:rsidRPr="004F7E58" w:rsidRDefault="00B86939" w:rsidP="00B8693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2022. godini</w:t>
            </w:r>
          </w:p>
        </w:tc>
      </w:tr>
      <w:tr w:rsidR="00F77B9D" w:rsidRPr="004F7E58" w14:paraId="1524866A" w14:textId="77777777" w:rsidTr="00B8693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11A" w14:textId="77777777" w:rsidR="00F77B9D" w:rsidRPr="004F7E58" w:rsidRDefault="00F77B9D" w:rsidP="00F77B9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500A" w14:textId="26EE7539" w:rsidR="00F77B9D" w:rsidRPr="004F7E58" w:rsidRDefault="00F77B9D" w:rsidP="00F77B9D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IV.1.B Aplikacija dostupna za budžetske korisnike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1F4EF2" w14:textId="2269B449" w:rsidR="00F77B9D" w:rsidRPr="004F7E58" w:rsidRDefault="00F77B9D" w:rsidP="00F77B9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proofErr w:type="spellStart"/>
            <w:r w:rsidRPr="004F7E58">
              <w:t>Rezultat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potpuno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postignut</w:t>
            </w:r>
            <w:proofErr w:type="spellEnd"/>
          </w:p>
        </w:tc>
      </w:tr>
      <w:tr w:rsidR="00AF1950" w:rsidRPr="004F7E58" w14:paraId="4EC1EE62" w14:textId="77777777" w:rsidTr="00F77B9D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5454495" w14:textId="77777777" w:rsidR="00AF1950" w:rsidRPr="004F7E58" w:rsidRDefault="00AF1950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70BAF124" w14:textId="7A043567" w:rsidR="00AF1950" w:rsidRPr="004F7E58" w:rsidRDefault="00B16326" w:rsidP="00F77B9D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Završena je obuka svih korisnika i dodijeljene su im licence za pristup trezorskoj aplikaciji.</w:t>
            </w:r>
            <w:r w:rsidR="00F77B9D" w:rsidRPr="004F7E58">
              <w:rPr>
                <w:lang w:val="bs-Latn-BA"/>
              </w:rPr>
              <w:t xml:space="preserve"> U periodu implementacije Strategije, nisu planirana dodatna dodjeljivanja licence za pristup i obuke korisnika. Preostali korisnici koji nemaju direktan pristup trezoru </w:t>
            </w:r>
            <w:r w:rsidR="00DD1D28" w:rsidRPr="004F7E58">
              <w:rPr>
                <w:lang w:val="bs-Latn-BA"/>
              </w:rPr>
              <w:t xml:space="preserve">nemaju kadrovskih i tehničkih pretpostavki za pristup, pa će unose za njih nastaviti vršiti Sektor za trezor FMF (većinom ograničeni na primanja i materijalne troškove). </w:t>
            </w:r>
          </w:p>
        </w:tc>
      </w:tr>
    </w:tbl>
    <w:p w14:paraId="00E30CA2" w14:textId="77777777" w:rsidR="00AF1950" w:rsidRPr="004F7E58" w:rsidRDefault="00AF1950" w:rsidP="00AF1950">
      <w:pPr>
        <w:pStyle w:val="NormalPFM1"/>
        <w:rPr>
          <w:lang w:val="bs-Latn-BA"/>
        </w:rPr>
      </w:pPr>
    </w:p>
    <w:p w14:paraId="21684CF7" w14:textId="7714DB9B" w:rsidR="00AF1950" w:rsidRPr="004F7E58" w:rsidRDefault="00AF1950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</w:rPr>
      </w:pPr>
      <w:bookmarkStart w:id="29" w:name="_Hlk107799734"/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 xml:space="preserve">: IV.2. </w:t>
      </w:r>
      <w:proofErr w:type="spellStart"/>
      <w:r w:rsidR="00127C95" w:rsidRPr="004F7E58">
        <w:rPr>
          <w:b/>
          <w:i w:val="0"/>
          <w:color w:val="C00000"/>
          <w:sz w:val="24"/>
        </w:rPr>
        <w:t>Rješavanje</w:t>
      </w:r>
      <w:proofErr w:type="spellEnd"/>
      <w:r w:rsidR="00127C95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127C95" w:rsidRPr="004F7E58">
        <w:rPr>
          <w:b/>
          <w:i w:val="0"/>
          <w:color w:val="C00000"/>
          <w:sz w:val="24"/>
        </w:rPr>
        <w:t>neizmirenih</w:t>
      </w:r>
      <w:proofErr w:type="spellEnd"/>
      <w:r w:rsidR="00127C95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127C95" w:rsidRPr="004F7E58">
        <w:rPr>
          <w:b/>
          <w:i w:val="0"/>
          <w:color w:val="C00000"/>
          <w:sz w:val="24"/>
        </w:rPr>
        <w:t>obaveza</w:t>
      </w:r>
      <w:proofErr w:type="spellEnd"/>
    </w:p>
    <w:p w14:paraId="395D565B" w14:textId="77777777" w:rsidR="00AF1950" w:rsidRPr="004F7E58" w:rsidRDefault="00AF1950" w:rsidP="00AF1950">
      <w:pPr>
        <w:rPr>
          <w:b/>
        </w:rPr>
      </w:pPr>
    </w:p>
    <w:p w14:paraId="4CC6AFFF" w14:textId="60A32F96" w:rsidR="00AF1950" w:rsidRPr="004F7E58" w:rsidRDefault="00AF1950" w:rsidP="00AF195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3350C" w:rsidRPr="004F7E58" w14:paraId="5B829632" w14:textId="77777777" w:rsidTr="00DC7F97">
        <w:tc>
          <w:tcPr>
            <w:tcW w:w="9350" w:type="dxa"/>
          </w:tcPr>
          <w:p w14:paraId="6964CFBE" w14:textId="3AF6B97C" w:rsidR="00D3350C" w:rsidRPr="004F7E58" w:rsidRDefault="00D3350C" w:rsidP="00DC7F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mjere </w:t>
            </w:r>
            <w:r w:rsidR="009D1821" w:rsidRPr="004F7E58">
              <w:rPr>
                <w:noProof/>
                <w:lang w:val="bs-Latn-BA"/>
              </w:rPr>
              <w:t xml:space="preserve">su planirane tri </w:t>
            </w:r>
            <w:r w:rsidR="00422629" w:rsidRPr="004F7E58">
              <w:rPr>
                <w:noProof/>
                <w:lang w:val="bs-Latn-BA"/>
              </w:rPr>
              <w:t>aktivnost</w:t>
            </w:r>
            <w:r w:rsidR="009D1821" w:rsidRPr="004F7E58">
              <w:rPr>
                <w:noProof/>
                <w:lang w:val="bs-Latn-BA"/>
              </w:rPr>
              <w:t>i, od kojih je jedna u toku.</w:t>
            </w:r>
          </w:p>
        </w:tc>
      </w:tr>
      <w:tr w:rsidR="00D3350C" w:rsidRPr="004F7E58" w14:paraId="24FCFC8F" w14:textId="77777777" w:rsidTr="00DC7F97">
        <w:tc>
          <w:tcPr>
            <w:tcW w:w="9350" w:type="dxa"/>
          </w:tcPr>
          <w:p w14:paraId="3BC8E4C4" w14:textId="7CED6960" w:rsidR="00D3350C" w:rsidRPr="004F7E58" w:rsidRDefault="00D3350C" w:rsidP="00661510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Rok za realizaciju rezultata mjere</w:t>
            </w:r>
            <w:r w:rsidR="009D1821" w:rsidRPr="004F7E58">
              <w:rPr>
                <w:noProof/>
                <w:lang w:val="bs-Latn-BA"/>
              </w:rPr>
              <w:t xml:space="preserve"> je istekao. Preduslov za punu implementaciju je podrška donatora koja nije obezbijeđena</w:t>
            </w:r>
            <w:r w:rsidRPr="004F7E58">
              <w:rPr>
                <w:noProof/>
                <w:lang w:val="bs-Latn-BA"/>
              </w:rPr>
              <w:t xml:space="preserve">. </w:t>
            </w:r>
          </w:p>
        </w:tc>
      </w:tr>
    </w:tbl>
    <w:p w14:paraId="7FD75F5A" w14:textId="6B21851A" w:rsidR="00AF1950" w:rsidRPr="004F7E58" w:rsidRDefault="00AF1950" w:rsidP="00AF195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180758" w:rsidRPr="004F7E58" w14:paraId="2F746C69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B8F8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B2F2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83E" w14:textId="655EEB05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0570E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0570E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422629" w:rsidRPr="004F7E58" w14:paraId="2976F578" w14:textId="77777777" w:rsidTr="0042262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C03A" w14:textId="77777777" w:rsidR="00422629" w:rsidRPr="004F7E58" w:rsidRDefault="00422629" w:rsidP="004226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0DE" w14:textId="7B51006E" w:rsidR="00422629" w:rsidRPr="004F7E58" w:rsidRDefault="00422629" w:rsidP="004226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IV.2.1 Izmjena obrazca 7 - Obrazac neizmirenih obaveza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B7B6FA5" w14:textId="3DE185F2" w:rsidR="00422629" w:rsidRPr="004F7E58" w:rsidRDefault="00422629" w:rsidP="004226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180758" w:rsidRPr="004F7E58" w14:paraId="6166144D" w14:textId="77777777" w:rsidTr="0045692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BEFB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A7A" w14:textId="03A34B7B" w:rsidR="00180758" w:rsidRPr="004F7E58" w:rsidRDefault="00112058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Nje definiran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vAlign w:val="center"/>
          </w:tcPr>
          <w:p w14:paraId="27116540" w14:textId="07E967C2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nije definiran</w:t>
            </w:r>
          </w:p>
        </w:tc>
      </w:tr>
      <w:tr w:rsidR="00180758" w:rsidRPr="004F7E58" w14:paraId="55E938BD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425B5D3" w14:textId="77777777" w:rsidR="00180758" w:rsidRPr="004F7E58" w:rsidRDefault="00180758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55BD300D" w14:textId="6B634503" w:rsidR="00EC7AB3" w:rsidRPr="004F7E58" w:rsidRDefault="00EC7AB3" w:rsidP="00EA232F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Aktivnost je </w:t>
            </w:r>
            <w:r w:rsidR="00422629" w:rsidRPr="004F7E58">
              <w:rPr>
                <w:noProof/>
                <w:lang w:val="bs-Latn-BA"/>
              </w:rPr>
              <w:t xml:space="preserve">započeta tokom 2023. godine. </w:t>
            </w:r>
            <w:r w:rsidRPr="004F7E58">
              <w:rPr>
                <w:noProof/>
                <w:lang w:val="bs-Latn-BA"/>
              </w:rPr>
              <w:t xml:space="preserve">Definicija neizmirenih obaveza je uvedena kroz </w:t>
            </w:r>
            <w:r w:rsidR="00422629" w:rsidRPr="004F7E58">
              <w:rPr>
                <w:noProof/>
                <w:lang w:val="bs-Latn-BA"/>
              </w:rPr>
              <w:t>P</w:t>
            </w:r>
            <w:r w:rsidRPr="004F7E58">
              <w:rPr>
                <w:noProof/>
                <w:lang w:val="bs-Latn-BA"/>
              </w:rPr>
              <w:t>ravilnik o izvje</w:t>
            </w:r>
            <w:r w:rsidR="00422629" w:rsidRPr="004F7E58">
              <w:rPr>
                <w:noProof/>
                <w:lang w:val="bs-Latn-BA"/>
              </w:rPr>
              <w:t>š</w:t>
            </w:r>
            <w:r w:rsidRPr="004F7E58">
              <w:rPr>
                <w:noProof/>
                <w:lang w:val="bs-Latn-BA"/>
              </w:rPr>
              <w:t>tavanju</w:t>
            </w:r>
            <w:r w:rsidR="00422629" w:rsidRPr="004F7E58">
              <w:rPr>
                <w:noProof/>
                <w:lang w:val="bs-Latn-BA"/>
              </w:rPr>
              <w:t xml:space="preserve"> kao preduslov za izmjene obrazca. Definicija je novitet, jer do uvođenja nije postojala i nije bilo osnova za dobijanje tačnih informacija o neizmirenim obavezama. </w:t>
            </w:r>
            <w:r w:rsidRPr="004F7E58">
              <w:rPr>
                <w:noProof/>
                <w:lang w:val="bs-Latn-BA"/>
              </w:rPr>
              <w:t xml:space="preserve"> </w:t>
            </w:r>
            <w:r w:rsidR="00422629" w:rsidRPr="004F7E58">
              <w:rPr>
                <w:noProof/>
                <w:lang w:val="bs-Latn-BA"/>
              </w:rPr>
              <w:t xml:space="preserve">Nakon toga je počeo rad </w:t>
            </w:r>
            <w:r w:rsidRPr="004F7E58">
              <w:rPr>
                <w:noProof/>
                <w:lang w:val="bs-Latn-BA"/>
              </w:rPr>
              <w:t>na doradi formata obrazca 7</w:t>
            </w:r>
            <w:r w:rsidR="00422629" w:rsidRPr="004F7E58">
              <w:rPr>
                <w:noProof/>
                <w:lang w:val="bs-Latn-BA"/>
              </w:rPr>
              <w:t>. Usljed kompleksnosti računovodstvenih</w:t>
            </w:r>
            <w:r w:rsidR="000570E6" w:rsidRPr="004F7E58">
              <w:rPr>
                <w:noProof/>
                <w:lang w:val="bs-Latn-BA"/>
              </w:rPr>
              <w:t xml:space="preserve"> pravila</w:t>
            </w:r>
            <w:r w:rsidR="00422629" w:rsidRPr="004F7E58">
              <w:rPr>
                <w:noProof/>
                <w:lang w:val="bs-Latn-BA"/>
              </w:rPr>
              <w:t xml:space="preserve"> potreban</w:t>
            </w:r>
            <w:r w:rsidR="000570E6" w:rsidRPr="004F7E58">
              <w:rPr>
                <w:noProof/>
                <w:lang w:val="bs-Latn-BA"/>
              </w:rPr>
              <w:t xml:space="preserve"> je</w:t>
            </w:r>
            <w:r w:rsidR="00422629" w:rsidRPr="004F7E58">
              <w:rPr>
                <w:noProof/>
                <w:lang w:val="bs-Latn-BA"/>
              </w:rPr>
              <w:t xml:space="preserve"> duži period da se provedu konsultacije i definiše konačan format.</w:t>
            </w:r>
            <w:r w:rsidR="000570E6" w:rsidRPr="004F7E58">
              <w:rPr>
                <w:noProof/>
                <w:lang w:val="bs-Latn-BA"/>
              </w:rPr>
              <w:t xml:space="preserve"> Tokom 2024. godine su započete konsultacije koje su još uvijek u toku. Planira se produženje rokova za 2026 godinu dok se ne obezbijede budžetska sredstva za šire konsultacije sa svim korisnicima javnih sredstava. </w:t>
            </w:r>
          </w:p>
        </w:tc>
      </w:tr>
    </w:tbl>
    <w:p w14:paraId="7FFC2FD3" w14:textId="08C3BBC0" w:rsidR="00180758" w:rsidRPr="004F7E58" w:rsidRDefault="00180758" w:rsidP="00AF195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180758" w:rsidRPr="004F7E58" w14:paraId="23178830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9894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5184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F039" w14:textId="4A6277D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2140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2140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80758" w:rsidRPr="004F7E58" w14:paraId="69B2475C" w14:textId="77777777" w:rsidTr="0021401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5CDF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322" w14:textId="5E945B19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IV.2.2 Dokumentovati stanje neizmirenih obaveza na svim nivoima vlasti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0F55CD51" w14:textId="07395C8A" w:rsidR="00180758" w:rsidRPr="004F7E58" w:rsidRDefault="000570E6" w:rsidP="000570E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(bilo je predviđeno u</w:t>
            </w:r>
            <w:r w:rsidR="00180758" w:rsidRPr="004F7E58">
              <w:rPr>
                <w:noProof/>
                <w:lang w:val="bs-Latn-BA"/>
              </w:rPr>
              <w:t xml:space="preserve"> </w:t>
            </w:r>
            <w:r w:rsidR="00F6124A" w:rsidRPr="004F7E58">
              <w:rPr>
                <w:noProof/>
                <w:lang w:val="bs-Latn-BA"/>
              </w:rPr>
              <w:t>202</w:t>
            </w:r>
            <w:r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="00180758" w:rsidRPr="004F7E58">
              <w:rPr>
                <w:noProof/>
                <w:lang w:val="bs-Latn-BA"/>
              </w:rPr>
              <w:t>)</w:t>
            </w:r>
          </w:p>
        </w:tc>
      </w:tr>
      <w:tr w:rsidR="00180758" w:rsidRPr="004F7E58" w14:paraId="4DD0732B" w14:textId="77777777" w:rsidTr="00214014">
        <w:trPr>
          <w:cantSplit/>
          <w:trHeight w:val="5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154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ACB5" w14:textId="44E33C3E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IV.2.B Redovno izvještavanje o neizmirenim obavezama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6C7E8C12" w14:textId="16EA7F90" w:rsidR="00180758" w:rsidRPr="004F7E58" w:rsidRDefault="00180758" w:rsidP="000570E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Rok za realizaciju </w:t>
            </w:r>
            <w:r w:rsidR="000570E6" w:rsidRPr="004F7E58">
              <w:rPr>
                <w:noProof/>
                <w:lang w:val="bs-Latn-BA"/>
              </w:rPr>
              <w:t>je istekao</w:t>
            </w:r>
          </w:p>
        </w:tc>
      </w:tr>
      <w:tr w:rsidR="00180758" w:rsidRPr="004F7E58" w14:paraId="09F19496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0DF105D" w14:textId="77777777" w:rsidR="00180758" w:rsidRPr="004F7E58" w:rsidRDefault="00180758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4A7E784" w14:textId="5E114051" w:rsidR="00180758" w:rsidRPr="004F7E58" w:rsidRDefault="000570E6" w:rsidP="0066151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Aktivnost se odgađa jer je preduslov prethodna aktivnost. </w:t>
            </w:r>
          </w:p>
          <w:p w14:paraId="18838E2A" w14:textId="7697FFF5" w:rsidR="00EC7AB3" w:rsidRPr="004F7E58" w:rsidRDefault="00422629" w:rsidP="0066151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Izvj</w:t>
            </w:r>
            <w:r w:rsidR="00CB5438" w:rsidRPr="004F7E58">
              <w:rPr>
                <w:noProof/>
                <w:lang w:val="bs-Latn-BA"/>
              </w:rPr>
              <w:t>eš</w:t>
            </w:r>
            <w:r w:rsidRPr="004F7E58">
              <w:rPr>
                <w:noProof/>
                <w:lang w:val="bs-Latn-BA"/>
              </w:rPr>
              <w:t xml:space="preserve">tavanje o obavezama se provodi po starom obrazcu, i iako se podaci redovno prikupljaju, oni nisu vjerodostojni u smislu neizmirenih obaveza po novoj definiciji. </w:t>
            </w:r>
          </w:p>
        </w:tc>
      </w:tr>
    </w:tbl>
    <w:p w14:paraId="58065F3C" w14:textId="07805A44" w:rsidR="00180758" w:rsidRPr="004F7E58" w:rsidRDefault="00180758" w:rsidP="00AF195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180758" w:rsidRPr="004F7E58" w14:paraId="79A4B171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023B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CB4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62DE" w14:textId="6BFB5DFE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422629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422629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80758" w:rsidRPr="004F7E58" w14:paraId="4D1A2310" w14:textId="77777777" w:rsidTr="00214014">
        <w:trPr>
          <w:cantSplit/>
          <w:trHeight w:val="3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313D" w14:textId="77777777" w:rsidR="00180758" w:rsidRPr="004F7E58" w:rsidRDefault="0018075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CE4D" w14:textId="5E43BF24" w:rsidR="00180758" w:rsidRPr="004F7E58" w:rsidRDefault="00180758" w:rsidP="007044B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IV.2.3 Pružiti podršku nižim nivoima vlasti i fond</w:t>
            </w:r>
            <w:r w:rsidR="007044BF" w:rsidRPr="004F7E58">
              <w:rPr>
                <w:noProof/>
                <w:lang w:val="bs-Latn-BA"/>
              </w:rPr>
              <w:t>o</w:t>
            </w:r>
            <w:r w:rsidRPr="004F7E58">
              <w:rPr>
                <w:noProof/>
                <w:lang w:val="bs-Latn-BA"/>
              </w:rPr>
              <w:t>vima u upravljanju postojećim i sprječavanju akumuliranja novih neizmirenih obaveza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1B880AFC" w14:textId="4706BD82" w:rsidR="00180758" w:rsidRPr="004F7E58" w:rsidRDefault="000570E6" w:rsidP="006615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(bilo je predviđeno u 2024.)</w:t>
            </w:r>
          </w:p>
        </w:tc>
      </w:tr>
      <w:tr w:rsidR="000570E6" w:rsidRPr="004F7E58" w14:paraId="3EA7C1EA" w14:textId="77777777" w:rsidTr="0021401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FB85" w14:textId="77777777" w:rsidR="000570E6" w:rsidRPr="004F7E58" w:rsidRDefault="000570E6" w:rsidP="000570E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0DEF" w14:textId="473989FE" w:rsidR="000570E6" w:rsidRPr="004F7E58" w:rsidRDefault="000570E6" w:rsidP="000570E6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IV.2.C Korisnici smanjuju obim neizmirenih obaveza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vAlign w:val="center"/>
          </w:tcPr>
          <w:p w14:paraId="5D2063F6" w14:textId="0A05918A" w:rsidR="000570E6" w:rsidRPr="004F7E58" w:rsidRDefault="000570E6" w:rsidP="000570E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je istekao</w:t>
            </w:r>
          </w:p>
        </w:tc>
      </w:tr>
      <w:tr w:rsidR="000570E6" w:rsidRPr="004F7E58" w14:paraId="04A26FF8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4C6F6EA" w14:textId="77777777" w:rsidR="000570E6" w:rsidRPr="004F7E58" w:rsidRDefault="000570E6" w:rsidP="000570E6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FFB3EBC" w14:textId="0ECAD0AF" w:rsidR="000570E6" w:rsidRPr="004F7E58" w:rsidRDefault="000570E6" w:rsidP="000570E6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Aktivnost se odgađa jer je preduslov prethodna aktivnost. </w:t>
            </w:r>
          </w:p>
        </w:tc>
      </w:tr>
    </w:tbl>
    <w:p w14:paraId="409BE477" w14:textId="77777777" w:rsidR="00180758" w:rsidRPr="004F7E58" w:rsidRDefault="00180758" w:rsidP="00AF1950">
      <w:pPr>
        <w:rPr>
          <w:lang w:val="fr-FR"/>
        </w:rPr>
      </w:pPr>
    </w:p>
    <w:p w14:paraId="1F48B078" w14:textId="7FE5CC8A" w:rsidR="00127C95" w:rsidRPr="004F7E58" w:rsidRDefault="00127C95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</w:rPr>
      </w:pPr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 xml:space="preserve">: IV.3. </w:t>
      </w:r>
      <w:proofErr w:type="spellStart"/>
      <w:r w:rsidRPr="004F7E58">
        <w:rPr>
          <w:b/>
          <w:i w:val="0"/>
          <w:color w:val="C00000"/>
          <w:sz w:val="24"/>
        </w:rPr>
        <w:t>Upravljanje</w:t>
      </w:r>
      <w:proofErr w:type="spellEnd"/>
      <w:r w:rsidRPr="004F7E58">
        <w:rPr>
          <w:b/>
          <w:i w:val="0"/>
          <w:color w:val="C00000"/>
          <w:sz w:val="24"/>
        </w:rPr>
        <w:t xml:space="preserve"> </w:t>
      </w:r>
      <w:proofErr w:type="spellStart"/>
      <w:r w:rsidRPr="004F7E58">
        <w:rPr>
          <w:b/>
          <w:i w:val="0"/>
          <w:color w:val="C00000"/>
          <w:sz w:val="24"/>
        </w:rPr>
        <w:t>gotovinom</w:t>
      </w:r>
      <w:proofErr w:type="spellEnd"/>
    </w:p>
    <w:p w14:paraId="42A6BBEB" w14:textId="77777777" w:rsidR="00127C95" w:rsidRPr="004F7E58" w:rsidRDefault="00127C95" w:rsidP="00127C95">
      <w:pPr>
        <w:rPr>
          <w:b/>
        </w:rPr>
      </w:pPr>
    </w:p>
    <w:p w14:paraId="1183F56C" w14:textId="543CA7F1" w:rsidR="00127C95" w:rsidRPr="004F7E58" w:rsidRDefault="00127C95" w:rsidP="00127C95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62485" w:rsidRPr="004F7E58" w14:paraId="36AE5BFF" w14:textId="77777777" w:rsidTr="00DC7F97">
        <w:tc>
          <w:tcPr>
            <w:tcW w:w="9350" w:type="dxa"/>
          </w:tcPr>
          <w:p w14:paraId="75AADB5C" w14:textId="1AF8C769" w:rsidR="00962485" w:rsidRPr="004F7E58" w:rsidRDefault="00962485" w:rsidP="004F7E5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mjere </w:t>
            </w:r>
            <w:r w:rsidR="00A67B51" w:rsidRPr="004F7E58">
              <w:rPr>
                <w:noProof/>
                <w:lang w:val="bs-Latn-BA"/>
              </w:rPr>
              <w:t xml:space="preserve">radilo se na </w:t>
            </w:r>
            <w:r w:rsidR="00973E48" w:rsidRPr="004F7E58">
              <w:rPr>
                <w:noProof/>
                <w:lang w:val="bs-Latn-BA"/>
              </w:rPr>
              <w:t xml:space="preserve">dvije </w:t>
            </w:r>
            <w:r w:rsidR="00A67B51" w:rsidRPr="004F7E58">
              <w:rPr>
                <w:noProof/>
                <w:lang w:val="bs-Latn-BA"/>
              </w:rPr>
              <w:t xml:space="preserve">aktivnosti. </w:t>
            </w:r>
            <w:r w:rsidR="00973E48" w:rsidRPr="004F7E58">
              <w:rPr>
                <w:noProof/>
                <w:lang w:val="bs-Latn-BA"/>
              </w:rPr>
              <w:t>Jedna aktivnost je obustavljena.</w:t>
            </w:r>
          </w:p>
        </w:tc>
      </w:tr>
      <w:tr w:rsidR="00962485" w:rsidRPr="004F7E58" w14:paraId="1DE6DF95" w14:textId="77777777" w:rsidTr="00DC7F97">
        <w:tc>
          <w:tcPr>
            <w:tcW w:w="9350" w:type="dxa"/>
          </w:tcPr>
          <w:p w14:paraId="5A0C1DFA" w14:textId="6E6AD694" w:rsidR="00962485" w:rsidRPr="004F7E58" w:rsidRDefault="00A1723F" w:rsidP="00A1723F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Rokovi za ostvarenje rezultata mjera nisu istekli.</w:t>
            </w:r>
            <w:r w:rsidR="00973E48" w:rsidRPr="004F7E58">
              <w:rPr>
                <w:noProof/>
                <w:lang w:val="bs-Latn-BA"/>
              </w:rPr>
              <w:t xml:space="preserve"> Jedan rezultat mjere je brisan.</w:t>
            </w:r>
          </w:p>
        </w:tc>
      </w:tr>
    </w:tbl>
    <w:p w14:paraId="0114E8E3" w14:textId="77777777" w:rsidR="00D72225" w:rsidRPr="004F7E58" w:rsidRDefault="00D72225" w:rsidP="00D72225">
      <w:pPr>
        <w:pStyle w:val="NormalPFM1"/>
        <w:keepNext/>
        <w:rPr>
          <w:noProof/>
          <w:lang w:val="bs-Latn-BA"/>
        </w:rPr>
      </w:pPr>
    </w:p>
    <w:p w14:paraId="3603BC51" w14:textId="485C3B41" w:rsidR="00962485" w:rsidRPr="004F7E58" w:rsidRDefault="00962485" w:rsidP="00127C95">
      <w:pPr>
        <w:rPr>
          <w:b/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A90CA0" w:rsidRPr="004F7E58" w14:paraId="6CA40896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1A4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F24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C8D2" w14:textId="6AFB8D82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2140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2140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90CA0" w:rsidRPr="004F7E58" w14:paraId="2602729E" w14:textId="77777777" w:rsidTr="00A514F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CB3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22C2" w14:textId="41FE29A4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IV.3.1 Azuriranje / izrada /Izmjene Zakona o investiranju javnih sredstava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893D53" w14:textId="2916C85A" w:rsidR="00A90CA0" w:rsidRPr="004F7E58" w:rsidRDefault="00A514F5" w:rsidP="0005312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A90CA0" w:rsidRPr="004F7E58" w14:paraId="32342D39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EC98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4ADA" w14:textId="42A40244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IV.3.A Povećan priliv od kamate od investiranja (na nivou Federacije)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C598D" w14:textId="6FD840E2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A90CA0" w:rsidRPr="004F7E58" w14:paraId="6F519DA0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16B7A3A0" w14:textId="77777777" w:rsidR="00A90CA0" w:rsidRPr="004F7E58" w:rsidRDefault="00A90CA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2D38DC3C" w14:textId="374B22B0" w:rsidR="00FA26BA" w:rsidRPr="004F7E58" w:rsidRDefault="00FA26BA" w:rsidP="00FA26BA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Pokrenute su pripremne aktivnosti na </w:t>
            </w:r>
            <w:r w:rsidRPr="004F7E58">
              <w:rPr>
                <w:noProof/>
                <w:lang w:val="bs-Latn-BA"/>
              </w:rPr>
              <w:t xml:space="preserve">dokumentovanju savremenih trendova u ovoj oblasti kao pretpostavke za rad na zakonodavstvu. </w:t>
            </w:r>
            <w:r w:rsidRPr="004F7E58">
              <w:rPr>
                <w:lang w:val="bs-Latn-BA"/>
              </w:rPr>
              <w:t>Izmjene zakona o investiranju su još uvijek potrebne i planira se rad na nijma tokom 2025. godine</w:t>
            </w:r>
          </w:p>
          <w:p w14:paraId="1E0CE248" w14:textId="1B5422A4" w:rsidR="00214014" w:rsidRPr="004F7E58" w:rsidRDefault="00FA26BA" w:rsidP="00214014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Obezbjeđena je tehnička podrška od US Treasury koja je ove godine provedena i dala preporuke. Generalno sistem je ocijenjem  pozitivno i dane preporuke ne zahtijevaju značajne promjene. </w:t>
            </w:r>
          </w:p>
        </w:tc>
      </w:tr>
    </w:tbl>
    <w:p w14:paraId="21523D8F" w14:textId="2918E92E" w:rsidR="00B0676B" w:rsidRPr="004F7E58" w:rsidRDefault="00B0676B" w:rsidP="00B0676B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A90CA0" w:rsidRPr="004F7E58" w14:paraId="38E63229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1BA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6942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6E7" w14:textId="2618BB8A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FA26BA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FA26BA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514F5" w:rsidRPr="004F7E58" w14:paraId="3F01BE3D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2B5A" w14:textId="77777777" w:rsidR="00A514F5" w:rsidRPr="004F7E58" w:rsidRDefault="00A514F5" w:rsidP="00A514F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172" w14:textId="450C0897" w:rsidR="00A514F5" w:rsidRPr="004F7E58" w:rsidRDefault="00A514F5" w:rsidP="00A514F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IV.3.2 Usvojiti i implementirati procedure za pripremanje projekcija gotovinskog toka u ORACLE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CEBC" w14:textId="60350B85" w:rsidR="00A514F5" w:rsidRPr="004F7E58" w:rsidRDefault="006C1E1C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Aktivnost zaustavljena</w:t>
            </w:r>
            <w:r w:rsidR="00973E48" w:rsidRPr="004F7E58">
              <w:rPr>
                <w:noProof/>
                <w:lang w:val="bs-Latn-BA"/>
              </w:rPr>
              <w:t xml:space="preserve"> </w:t>
            </w:r>
          </w:p>
        </w:tc>
      </w:tr>
      <w:tr w:rsidR="00A90CA0" w:rsidRPr="004F7E58" w14:paraId="599B700B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0FFD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0FB" w14:textId="03CBCA36" w:rsidR="00A90CA0" w:rsidRPr="004F7E58" w:rsidRDefault="00A90CA0" w:rsidP="002C2BF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</w:t>
            </w:r>
            <w:r w:rsidR="002C2BF0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3</w:t>
            </w:r>
            <w:r w:rsidR="002C2BF0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B Upotreba Uputstva za upravljanje gotovinom pri projekciji gotovinskog toka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DF61" w14:textId="554FCD3A" w:rsidR="00A90CA0" w:rsidRPr="004F7E58" w:rsidRDefault="00973E48" w:rsidP="004F7E58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se briše</w:t>
            </w:r>
          </w:p>
        </w:tc>
      </w:tr>
      <w:tr w:rsidR="00A90CA0" w:rsidRPr="004F7E58" w14:paraId="471784F5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B262DBD" w14:textId="77777777" w:rsidR="00A90CA0" w:rsidRPr="004F7E58" w:rsidRDefault="00A90CA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2B57A09" w14:textId="77130044" w:rsidR="00A90CA0" w:rsidRPr="004F7E58" w:rsidRDefault="00FA26BA" w:rsidP="00D43F07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Na osnovu tehničke analize utvrđeno je da nema potrebe za izmjenanama i da nema potrebe za novim izmjenama zakonskih propisa. Odbor za likvidnost radi kontinuirano. </w:t>
            </w:r>
          </w:p>
        </w:tc>
      </w:tr>
    </w:tbl>
    <w:p w14:paraId="1B432010" w14:textId="77777777" w:rsidR="00A90CA0" w:rsidRPr="004F7E58" w:rsidRDefault="00A90CA0" w:rsidP="00B0676B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B0676B" w:rsidRPr="004F7E58" w14:paraId="543222E6" w14:textId="77777777" w:rsidTr="00CB7B2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E9E" w14:textId="77777777" w:rsidR="00B0676B" w:rsidRPr="004F7E58" w:rsidRDefault="00B0676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206" w14:textId="77777777" w:rsidR="00B0676B" w:rsidRPr="004F7E58" w:rsidRDefault="00B0676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9F7C" w14:textId="2114616F" w:rsidR="00B0676B" w:rsidRPr="004F7E58" w:rsidRDefault="00B0676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FA26BA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FA26BA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B0676B" w:rsidRPr="004F7E58" w14:paraId="57991C39" w14:textId="77777777" w:rsidTr="00CB7B2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BD01" w14:textId="77777777" w:rsidR="00B0676B" w:rsidRPr="004F7E58" w:rsidRDefault="00B0676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94FA" w14:textId="1332BBA9" w:rsidR="00B0676B" w:rsidRPr="004F7E58" w:rsidRDefault="00B0676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IV.3.3 Jačanje zaštite javnih sredstava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9BE47B" w14:textId="32A53D98" w:rsidR="00B0676B" w:rsidRPr="004F7E58" w:rsidRDefault="00B0676B" w:rsidP="0065121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CB7B26" w:rsidRPr="004F7E58" w14:paraId="00A713A6" w14:textId="77777777" w:rsidTr="00294DF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E56" w14:textId="77777777" w:rsidR="00CB7B26" w:rsidRPr="004F7E58" w:rsidRDefault="00CB7B26" w:rsidP="00CB7B2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04BC" w14:textId="1AB358F3" w:rsidR="00CB7B26" w:rsidRPr="004F7E58" w:rsidRDefault="00CB7B26" w:rsidP="00CB7B26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IV.3.C Povećanje prihoda i diverzifikacija oročenja na kraći rok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C982AD" w14:textId="7C48CB23" w:rsidR="00CB7B26" w:rsidRPr="004F7E58" w:rsidRDefault="00CB7B26" w:rsidP="00CB7B2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B0676B" w:rsidRPr="004F7E58" w14:paraId="56A0C2E3" w14:textId="77777777" w:rsidTr="00CB7B26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4A970E4" w14:textId="77777777" w:rsidR="00B0676B" w:rsidRPr="004F7E58" w:rsidRDefault="00B0676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7C24241E" w14:textId="10057FD8" w:rsidR="00B0676B" w:rsidRPr="004F7E58" w:rsidRDefault="00962485" w:rsidP="008F2A32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Jačanje zaštite javnih sredstava je planirano kroz postizanje boljih uslova za rad sa bankama</w:t>
            </w:r>
            <w:r w:rsidR="008F2A32" w:rsidRPr="004F7E58">
              <w:rPr>
                <w:lang w:val="bs-Latn-BA"/>
              </w:rPr>
              <w:t xml:space="preserve"> a n</w:t>
            </w:r>
            <w:r w:rsidRPr="004F7E58">
              <w:rPr>
                <w:lang w:val="bs-Latn-BA"/>
              </w:rPr>
              <w:t>ovi i</w:t>
            </w:r>
            <w:r w:rsidR="00B0676B" w:rsidRPr="004F7E58">
              <w:rPr>
                <w:lang w:val="bs-Latn-BA"/>
              </w:rPr>
              <w:t>zbor banaka</w:t>
            </w:r>
            <w:r w:rsidR="00A67B51" w:rsidRPr="004F7E58">
              <w:rPr>
                <w:lang w:val="bs-Latn-BA"/>
              </w:rPr>
              <w:t xml:space="preserve"> se redovno provodi. </w:t>
            </w:r>
            <w:r w:rsidR="000B7AD2" w:rsidRPr="004F7E58">
              <w:rPr>
                <w:lang w:val="bs-Latn-BA"/>
              </w:rPr>
              <w:t xml:space="preserve"> </w:t>
            </w:r>
          </w:p>
          <w:p w14:paraId="65750DD6" w14:textId="17DE7B75" w:rsidR="00FA26BA" w:rsidRPr="004F7E58" w:rsidRDefault="00FA26BA" w:rsidP="008F2A32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Zadnje dvije godine </w:t>
            </w:r>
            <w:r w:rsidR="00C173DF" w:rsidRPr="004F7E58">
              <w:rPr>
                <w:lang w:val="bs-Latn-BA"/>
              </w:rPr>
              <w:t>je bilo problema sa prihodima i n</w:t>
            </w:r>
            <w:r w:rsidRPr="004F7E58">
              <w:rPr>
                <w:lang w:val="bs-Latn-BA"/>
              </w:rPr>
              <w:t>ije bilo mogu</w:t>
            </w:r>
            <w:r w:rsidR="00C173DF" w:rsidRPr="004F7E58">
              <w:rPr>
                <w:lang w:val="bs-Latn-BA"/>
              </w:rPr>
              <w:t>ć</w:t>
            </w:r>
            <w:r w:rsidRPr="004F7E58">
              <w:rPr>
                <w:lang w:val="bs-Latn-BA"/>
              </w:rPr>
              <w:t>nosti za novim oro</w:t>
            </w:r>
            <w:r w:rsidR="00C173DF" w:rsidRPr="004F7E58">
              <w:rPr>
                <w:lang w:val="bs-Latn-BA"/>
              </w:rPr>
              <w:t>č</w:t>
            </w:r>
            <w:r w:rsidRPr="004F7E58">
              <w:rPr>
                <w:lang w:val="bs-Latn-BA"/>
              </w:rPr>
              <w:t>enjima</w:t>
            </w:r>
            <w:r w:rsidR="00C173DF" w:rsidRPr="004F7E58">
              <w:rPr>
                <w:lang w:val="bs-Latn-BA"/>
              </w:rPr>
              <w:t xml:space="preserve"> usljed deficita</w:t>
            </w:r>
            <w:r w:rsidRPr="004F7E58">
              <w:rPr>
                <w:lang w:val="bs-Latn-BA"/>
              </w:rPr>
              <w:t>. Razmatra se kori</w:t>
            </w:r>
            <w:r w:rsidR="00C173DF" w:rsidRPr="004F7E58">
              <w:rPr>
                <w:lang w:val="bs-Latn-BA"/>
              </w:rPr>
              <w:t>š</w:t>
            </w:r>
            <w:r w:rsidRPr="004F7E58">
              <w:rPr>
                <w:lang w:val="bs-Latn-BA"/>
              </w:rPr>
              <w:t>tenje or</w:t>
            </w:r>
            <w:r w:rsidR="00973E48" w:rsidRPr="004F7E58">
              <w:rPr>
                <w:lang w:val="bs-Latn-BA"/>
              </w:rPr>
              <w:t>o</w:t>
            </w:r>
            <w:r w:rsidR="00C173DF" w:rsidRPr="004F7E58">
              <w:rPr>
                <w:lang w:val="bs-Latn-BA"/>
              </w:rPr>
              <w:t>č</w:t>
            </w:r>
            <w:r w:rsidRPr="004F7E58">
              <w:rPr>
                <w:lang w:val="bs-Latn-BA"/>
              </w:rPr>
              <w:t>enja „overnight“ prekonočno</w:t>
            </w:r>
            <w:r w:rsidR="00C173DF" w:rsidRPr="004F7E58">
              <w:rPr>
                <w:lang w:val="bs-Latn-BA"/>
              </w:rPr>
              <w:t xml:space="preserve"> kao novog alata</w:t>
            </w:r>
            <w:r w:rsidRPr="004F7E58">
              <w:rPr>
                <w:lang w:val="bs-Latn-BA"/>
              </w:rPr>
              <w:t>. Na kraju dana bi se novac oro</w:t>
            </w:r>
            <w:r w:rsidR="00C173DF" w:rsidRPr="004F7E58">
              <w:rPr>
                <w:lang w:val="bs-Latn-BA"/>
              </w:rPr>
              <w:t>č</w:t>
            </w:r>
            <w:r w:rsidRPr="004F7E58">
              <w:rPr>
                <w:lang w:val="bs-Latn-BA"/>
              </w:rPr>
              <w:t>io, a ujutro bi se vratio na ra</w:t>
            </w:r>
            <w:r w:rsidR="00C173DF" w:rsidRPr="004F7E58">
              <w:rPr>
                <w:lang w:val="bs-Latn-BA"/>
              </w:rPr>
              <w:t>č</w:t>
            </w:r>
            <w:r w:rsidRPr="004F7E58">
              <w:rPr>
                <w:lang w:val="bs-Latn-BA"/>
              </w:rPr>
              <w:t>un.</w:t>
            </w:r>
          </w:p>
        </w:tc>
      </w:tr>
    </w:tbl>
    <w:p w14:paraId="0A5CB32B" w14:textId="77777777" w:rsidR="00B0676B" w:rsidRPr="004F7E58" w:rsidRDefault="00B0676B" w:rsidP="00127C95">
      <w:pPr>
        <w:rPr>
          <w:lang w:val="bs-Latn-BA"/>
        </w:rPr>
      </w:pPr>
    </w:p>
    <w:p w14:paraId="14242214" w14:textId="65BCBA9B" w:rsidR="00E27836" w:rsidRPr="004F7E58" w:rsidRDefault="00E27836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</w:rPr>
      </w:pPr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 xml:space="preserve">: IV.4. </w:t>
      </w:r>
      <w:proofErr w:type="spellStart"/>
      <w:r w:rsidR="00FE42D3" w:rsidRPr="004F7E58">
        <w:rPr>
          <w:b/>
          <w:i w:val="0"/>
          <w:color w:val="C00000"/>
          <w:sz w:val="24"/>
        </w:rPr>
        <w:t>Jačanje</w:t>
      </w:r>
      <w:proofErr w:type="spellEnd"/>
      <w:r w:rsidR="00FE42D3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FE42D3" w:rsidRPr="004F7E58">
        <w:rPr>
          <w:b/>
          <w:i w:val="0"/>
          <w:color w:val="C00000"/>
          <w:sz w:val="24"/>
        </w:rPr>
        <w:t>upravljanja</w:t>
      </w:r>
      <w:proofErr w:type="spellEnd"/>
      <w:r w:rsidR="00FE42D3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FE42D3" w:rsidRPr="004F7E58">
        <w:rPr>
          <w:b/>
          <w:i w:val="0"/>
          <w:color w:val="C00000"/>
          <w:sz w:val="24"/>
        </w:rPr>
        <w:t>dugom</w:t>
      </w:r>
      <w:proofErr w:type="spellEnd"/>
    </w:p>
    <w:p w14:paraId="493C2338" w14:textId="77777777" w:rsidR="00E27836" w:rsidRPr="004F7E58" w:rsidRDefault="00E27836" w:rsidP="00E27836">
      <w:pPr>
        <w:rPr>
          <w:b/>
        </w:rPr>
      </w:pPr>
    </w:p>
    <w:p w14:paraId="231FFFE6" w14:textId="3895723B" w:rsidR="00E27836" w:rsidRPr="004F7E58" w:rsidRDefault="00E27836" w:rsidP="00E27836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62485" w:rsidRPr="004F7E58" w14:paraId="4013F925" w14:textId="77777777" w:rsidTr="00DC7F97">
        <w:tc>
          <w:tcPr>
            <w:tcW w:w="9350" w:type="dxa"/>
          </w:tcPr>
          <w:p w14:paraId="18D1B4DB" w14:textId="5F7DB007" w:rsidR="00962485" w:rsidRPr="004F7E58" w:rsidRDefault="00962485" w:rsidP="00DC7F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mjere </w:t>
            </w:r>
            <w:r w:rsidR="003773C9" w:rsidRPr="004F7E58">
              <w:rPr>
                <w:noProof/>
                <w:lang w:val="bs-Latn-BA"/>
              </w:rPr>
              <w:t>tri</w:t>
            </w:r>
            <w:r w:rsidR="00754EB7" w:rsidRPr="004F7E58">
              <w:rPr>
                <w:noProof/>
                <w:lang w:val="bs-Latn-BA"/>
              </w:rPr>
              <w:t xml:space="preserve"> aktivnosti</w:t>
            </w:r>
            <w:r w:rsidR="006C49DF" w:rsidRPr="004F7E58">
              <w:rPr>
                <w:noProof/>
                <w:lang w:val="bs-Latn-BA"/>
              </w:rPr>
              <w:t xml:space="preserve"> su bile u toku provođenja.</w:t>
            </w:r>
          </w:p>
        </w:tc>
      </w:tr>
      <w:tr w:rsidR="00962485" w:rsidRPr="004F7E58" w14:paraId="005C1870" w14:textId="77777777" w:rsidTr="00DC7F97">
        <w:tc>
          <w:tcPr>
            <w:tcW w:w="9350" w:type="dxa"/>
          </w:tcPr>
          <w:p w14:paraId="5949D423" w14:textId="3939B118" w:rsidR="00962485" w:rsidRPr="004F7E58" w:rsidRDefault="00F70765" w:rsidP="00DC7F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Rok za realizaciju </w:t>
            </w:r>
            <w:r w:rsidR="00962485" w:rsidRPr="004F7E58">
              <w:rPr>
                <w:noProof/>
                <w:lang w:val="bs-Latn-BA"/>
              </w:rPr>
              <w:t xml:space="preserve">rezultata mjere </w:t>
            </w:r>
            <w:r w:rsidRPr="004F7E58">
              <w:rPr>
                <w:noProof/>
                <w:lang w:val="bs-Latn-BA"/>
              </w:rPr>
              <w:t>nije istekao</w:t>
            </w:r>
            <w:r w:rsidR="00962485" w:rsidRPr="004F7E58">
              <w:rPr>
                <w:noProof/>
                <w:lang w:val="bs-Latn-BA"/>
              </w:rPr>
              <w:t xml:space="preserve">. </w:t>
            </w:r>
          </w:p>
        </w:tc>
      </w:tr>
    </w:tbl>
    <w:p w14:paraId="584C265C" w14:textId="7C688AF5" w:rsidR="00962485" w:rsidRPr="004F7E58" w:rsidRDefault="00962485" w:rsidP="00E27836">
      <w:pPr>
        <w:rPr>
          <w:b/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A90CA0" w:rsidRPr="004F7E58" w14:paraId="1CE41BAB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6DEF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6AB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47B" w14:textId="79918A31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56409" w:rsidRPr="004F7E58" w14:paraId="14E94813" w14:textId="77777777" w:rsidTr="0015640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1F72" w14:textId="77777777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EAF" w14:textId="677B5A12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IV.4.1 Implementirati novi IT sistem za upravljanje dugom u F BiH i razmotriti njegovo uvođenje u kantonalnim vladama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CA4C98" w14:textId="4ADA4B80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A90CA0" w:rsidRPr="004F7E58" w14:paraId="6A0BDC2F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C71C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5E95" w14:textId="0F7E9541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IT sistem implementiran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E32B3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Rok za realizaciju još nije istekao</w:t>
            </w:r>
          </w:p>
        </w:tc>
      </w:tr>
      <w:tr w:rsidR="00A90CA0" w:rsidRPr="004F7E58" w14:paraId="136A1C56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640AEB23" w14:textId="77777777" w:rsidR="00A90CA0" w:rsidRPr="004F7E58" w:rsidRDefault="00A90CA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1EB856B" w14:textId="0E764921" w:rsidR="00A90CA0" w:rsidRPr="004F7E58" w:rsidRDefault="00156409" w:rsidP="004F7E58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 </w:t>
            </w:r>
            <w:r w:rsidR="00725076" w:rsidRPr="004F7E58">
              <w:rPr>
                <w:noProof/>
                <w:lang w:val="bs-Latn-BA"/>
              </w:rPr>
              <w:t>m</w:t>
            </w:r>
            <w:r w:rsidRPr="004F7E58">
              <w:rPr>
                <w:noProof/>
                <w:lang w:val="bs-Latn-BA"/>
              </w:rPr>
              <w:t xml:space="preserve">jeru </w:t>
            </w:r>
            <w:r w:rsidR="00725076" w:rsidRPr="004F7E58">
              <w:rPr>
                <w:noProof/>
                <w:lang w:val="bs-Latn-BA"/>
              </w:rPr>
              <w:t xml:space="preserve">Jačanje </w:t>
            </w:r>
            <w:r w:rsidRPr="004F7E58">
              <w:rPr>
                <w:noProof/>
                <w:lang w:val="bs-Latn-BA"/>
              </w:rPr>
              <w:t>upravljanja dugom FMF je tražilo tehničku podršku od donatora. Obezbijeđena je podrška Evropske Unije</w:t>
            </w:r>
            <w:r w:rsidR="003773C9" w:rsidRPr="004F7E58">
              <w:rPr>
                <w:noProof/>
                <w:lang w:val="bs-Latn-BA"/>
              </w:rPr>
              <w:t xml:space="preserve"> i projekat je počeo sa radom 2024. godine,</w:t>
            </w:r>
          </w:p>
        </w:tc>
      </w:tr>
    </w:tbl>
    <w:p w14:paraId="455CEFB8" w14:textId="38217A00" w:rsidR="00E27836" w:rsidRPr="004F7E58" w:rsidRDefault="00E27836" w:rsidP="00E27836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A90CA0" w:rsidRPr="004F7E58" w14:paraId="02904529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C723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76E3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EE4" w14:textId="4818C665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C173D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C173D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90CA0" w:rsidRPr="004F7E58" w14:paraId="15F74143" w14:textId="77777777" w:rsidTr="00C173D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F1AF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C4D5" w14:textId="499F99D4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IV.4.2 Identificirati i implementirati korake neophodne da se osigura izvještavanje o dugu u skladu sa ESA 2010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80EC55" w14:textId="1E067397" w:rsidR="00A90CA0" w:rsidRPr="004F7E58" w:rsidRDefault="00C173DF" w:rsidP="001547E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toku</w:t>
            </w:r>
          </w:p>
        </w:tc>
      </w:tr>
      <w:tr w:rsidR="00A90CA0" w:rsidRPr="004F7E58" w14:paraId="7C22D9F0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CA6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F6D2" w14:textId="7FDC8388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Početak vjerodostojnog izvještavanja u ESA 2010 formatu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499F3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Rok za realizaciju još nije istekao</w:t>
            </w:r>
          </w:p>
        </w:tc>
      </w:tr>
      <w:tr w:rsidR="00A90CA0" w:rsidRPr="004F7E58" w14:paraId="7C7F3B49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600FC425" w14:textId="77777777" w:rsidR="00A90CA0" w:rsidRPr="004F7E58" w:rsidRDefault="00A90CA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57E4B84D" w14:textId="7B6CE93D" w:rsidR="00A90CA0" w:rsidRPr="004F7E58" w:rsidRDefault="00C173DF" w:rsidP="00641296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EU projekat podrške je tokom 2024</w:t>
            </w:r>
            <w:r w:rsidR="00725076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 xml:space="preserve"> izradio izvještaj sa potrebnim koracima za izvještavanje. Izrađena su zakonska rješenja i očekuje se usvajanje tokom 2025. godine.</w:t>
            </w:r>
          </w:p>
        </w:tc>
      </w:tr>
    </w:tbl>
    <w:p w14:paraId="775217E8" w14:textId="25F1B8DE" w:rsidR="00A90CA0" w:rsidRPr="004F7E58" w:rsidRDefault="00A90CA0" w:rsidP="00E27836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A90CA0" w:rsidRPr="004F7E58" w14:paraId="172559D2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D24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E07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51E" w14:textId="6DCD53A4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56409" w:rsidRPr="004F7E58" w14:paraId="606159CE" w14:textId="77777777" w:rsidTr="0015640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906E" w14:textId="77777777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75D9" w14:textId="63576881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IV.4.3 Druga poboljšanja procesa upravljanja dugom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CDCDEA" w14:textId="18A85893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156409" w:rsidRPr="004F7E58" w14:paraId="46726690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ED6" w14:textId="77777777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9E7" w14:textId="291A2DC9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Garancije se izdaju nakon procjene rizika u skladu sa novim pravilima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EBBAC" w14:textId="77777777" w:rsidR="00156409" w:rsidRPr="004F7E58" w:rsidRDefault="00156409" w:rsidP="0015640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Rok za realizaciju još nije istekao</w:t>
            </w:r>
          </w:p>
        </w:tc>
      </w:tr>
      <w:tr w:rsidR="00156409" w:rsidRPr="004F7E58" w14:paraId="39A171EB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DD57B2E" w14:textId="77777777" w:rsidR="00156409" w:rsidRPr="004F7E58" w:rsidRDefault="00156409" w:rsidP="00156409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F2C0BC9" w14:textId="77777777" w:rsidR="003773C9" w:rsidRPr="004F7E58" w:rsidRDefault="003773C9" w:rsidP="003773C9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FMF redovno radi na poboljšanjima procesa upravljanja dugom po raznim parametrima. Za kvalitatvno poboljšanje ovog procesa očekuje se pomoć od obezbijeđene tehničke podrške. </w:t>
            </w:r>
          </w:p>
          <w:p w14:paraId="71E35785" w14:textId="1AEB89FE" w:rsidR="00156409" w:rsidRPr="004F7E58" w:rsidRDefault="003773C9" w:rsidP="003773C9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Napravljeno je zakonsko rješenje o izdavanju novih pravila za izda</w:t>
            </w:r>
            <w:r w:rsidR="00725076" w:rsidRPr="004F7E58">
              <w:rPr>
                <w:noProof/>
                <w:lang w:val="bs-Latn-BA"/>
              </w:rPr>
              <w:t>v</w:t>
            </w:r>
            <w:r w:rsidRPr="004F7E58">
              <w:rPr>
                <w:noProof/>
                <w:lang w:val="bs-Latn-BA"/>
              </w:rPr>
              <w:t>anje garancija, koja će sistem učiniti transparentnijim, efkikasnijim i sa jasnim pravilima za sve korisnike. Očekuje se usvajanje tokom 2025. godine</w:t>
            </w:r>
          </w:p>
        </w:tc>
      </w:tr>
      <w:bookmarkEnd w:id="29"/>
    </w:tbl>
    <w:p w14:paraId="48BAC9DD" w14:textId="77777777" w:rsidR="00AF1950" w:rsidRPr="004F7E58" w:rsidRDefault="00AF1950" w:rsidP="00AF1950">
      <w:pPr>
        <w:pStyle w:val="NormalPFM1"/>
        <w:rPr>
          <w:lang w:val="bs-Latn-BA"/>
        </w:rPr>
      </w:pPr>
    </w:p>
    <w:p w14:paraId="40DF0CDC" w14:textId="7E0671EF" w:rsidR="00AF1950" w:rsidRPr="004F7E58" w:rsidRDefault="00AF1950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sz w:val="24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>MJERA: IV.</w:t>
      </w:r>
      <w:r w:rsidR="00FE42D3" w:rsidRPr="004F7E58">
        <w:rPr>
          <w:b/>
          <w:i w:val="0"/>
          <w:color w:val="C00000"/>
          <w:sz w:val="24"/>
          <w:lang w:val="bs-Latn-BA"/>
        </w:rPr>
        <w:t>5</w:t>
      </w:r>
      <w:r w:rsidRPr="004F7E58">
        <w:rPr>
          <w:b/>
          <w:i w:val="0"/>
          <w:color w:val="C00000"/>
          <w:sz w:val="24"/>
          <w:lang w:val="bs-Latn-BA"/>
        </w:rPr>
        <w:t xml:space="preserve">. </w:t>
      </w:r>
      <w:r w:rsidR="00FE42D3" w:rsidRPr="004F7E58">
        <w:rPr>
          <w:b/>
          <w:i w:val="0"/>
          <w:color w:val="C00000"/>
          <w:sz w:val="24"/>
          <w:lang w:val="bs-Latn-BA"/>
        </w:rPr>
        <w:t>Računovodstvo i finansijsko izvještavanje</w:t>
      </w:r>
    </w:p>
    <w:p w14:paraId="47FD2B23" w14:textId="77777777" w:rsidR="00AF1950" w:rsidRPr="004F7E58" w:rsidRDefault="00AF1950" w:rsidP="00AF1950">
      <w:pPr>
        <w:rPr>
          <w:b/>
          <w:lang w:val="bs-Latn-BA"/>
        </w:rPr>
      </w:pPr>
    </w:p>
    <w:p w14:paraId="566CC809" w14:textId="0508660A" w:rsidR="00AF1950" w:rsidRPr="004F7E58" w:rsidRDefault="00AF1950" w:rsidP="00AF195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3367" w:rsidRPr="004F7E58" w14:paraId="4A529E39" w14:textId="77777777" w:rsidTr="00DC7F97">
        <w:tc>
          <w:tcPr>
            <w:tcW w:w="9350" w:type="dxa"/>
          </w:tcPr>
          <w:p w14:paraId="1E94B78F" w14:textId="4B58D890" w:rsidR="00A93367" w:rsidRPr="004F7E58" w:rsidRDefault="00A93367" w:rsidP="004F7E5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mjere </w:t>
            </w:r>
            <w:r w:rsidR="0004614D" w:rsidRPr="004F7E58">
              <w:rPr>
                <w:noProof/>
                <w:lang w:val="bs-Latn-BA"/>
              </w:rPr>
              <w:t xml:space="preserve">su u toku tri aktivnosti, dok jedna nije </w:t>
            </w:r>
            <w:r w:rsidR="00D0744B" w:rsidRPr="004F7E58">
              <w:rPr>
                <w:noProof/>
                <w:lang w:val="bs-Latn-BA"/>
              </w:rPr>
              <w:t>ni planirana za implementaciju u izvještajnom periodu</w:t>
            </w:r>
            <w:r w:rsidR="0004614D" w:rsidRPr="004F7E58">
              <w:rPr>
                <w:noProof/>
                <w:lang w:val="bs-Latn-BA"/>
              </w:rPr>
              <w:t xml:space="preserve">. Jedna od aktivnosti je bila zamijenjena da bi se ispunile preporuke </w:t>
            </w:r>
            <w:r w:rsidR="00D0744B" w:rsidRPr="004F7E58">
              <w:rPr>
                <w:noProof/>
                <w:lang w:val="bs-Latn-BA"/>
              </w:rPr>
              <w:t>Ureda za reviziju</w:t>
            </w:r>
            <w:r w:rsidR="0004614D" w:rsidRPr="004F7E58">
              <w:rPr>
                <w:noProof/>
                <w:lang w:val="bs-Latn-BA"/>
              </w:rPr>
              <w:t xml:space="preserve">. </w:t>
            </w:r>
          </w:p>
        </w:tc>
      </w:tr>
      <w:tr w:rsidR="00A93367" w:rsidRPr="004F7E58" w14:paraId="5B1AC4D5" w14:textId="77777777" w:rsidTr="00DC7F97">
        <w:tc>
          <w:tcPr>
            <w:tcW w:w="9350" w:type="dxa"/>
          </w:tcPr>
          <w:p w14:paraId="5E8CD02A" w14:textId="2E598589" w:rsidR="00A93367" w:rsidRPr="004F7E58" w:rsidRDefault="00EC1530" w:rsidP="004F7E5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</w:t>
            </w:r>
            <w:r w:rsidR="00A93367" w:rsidRPr="004F7E58">
              <w:rPr>
                <w:noProof/>
                <w:lang w:val="bs-Latn-BA"/>
              </w:rPr>
              <w:t xml:space="preserve">ezultat mjere </w:t>
            </w:r>
            <w:r w:rsidRPr="004F7E58">
              <w:rPr>
                <w:noProof/>
                <w:lang w:val="bs-Latn-BA"/>
              </w:rPr>
              <w:t xml:space="preserve">je djelomično postignut </w:t>
            </w:r>
            <w:r w:rsidR="0004614D" w:rsidRPr="004F7E58">
              <w:rPr>
                <w:noProof/>
                <w:lang w:val="bs-Latn-BA"/>
              </w:rPr>
              <w:t xml:space="preserve">za </w:t>
            </w:r>
            <w:r w:rsidR="0075195A" w:rsidRPr="004F7E58">
              <w:rPr>
                <w:noProof/>
                <w:lang w:val="bs-Latn-BA"/>
              </w:rPr>
              <w:t xml:space="preserve">tri </w:t>
            </w:r>
            <w:r w:rsidR="0004614D" w:rsidRPr="004F7E58">
              <w:rPr>
                <w:noProof/>
                <w:lang w:val="bs-Latn-BA"/>
              </w:rPr>
              <w:t xml:space="preserve"> aktivnosti. </w:t>
            </w:r>
            <w:r w:rsidR="00B90274" w:rsidRPr="004F7E58">
              <w:rPr>
                <w:noProof/>
                <w:lang w:val="bs-Latn-BA"/>
              </w:rPr>
              <w:t xml:space="preserve">Rok za </w:t>
            </w:r>
            <w:r w:rsidR="00D0744B" w:rsidRPr="004F7E58">
              <w:rPr>
                <w:noProof/>
                <w:lang w:val="bs-Latn-BA"/>
              </w:rPr>
              <w:t>pre</w:t>
            </w:r>
            <w:r w:rsidR="00B90274" w:rsidRPr="004F7E58">
              <w:rPr>
                <w:noProof/>
                <w:lang w:val="bs-Latn-BA"/>
              </w:rPr>
              <w:t>ostal</w:t>
            </w:r>
            <w:r w:rsidR="00D0744B" w:rsidRPr="004F7E58">
              <w:rPr>
                <w:noProof/>
                <w:lang w:val="bs-Latn-BA"/>
              </w:rPr>
              <w:t>i</w:t>
            </w:r>
            <w:r w:rsidR="00B90274" w:rsidRPr="004F7E58">
              <w:rPr>
                <w:noProof/>
                <w:lang w:val="bs-Latn-BA"/>
              </w:rPr>
              <w:t xml:space="preserve"> rezultat mjere ni</w:t>
            </w:r>
            <w:r w:rsidR="00D0744B" w:rsidRPr="004F7E58">
              <w:rPr>
                <w:noProof/>
                <w:lang w:val="bs-Latn-BA"/>
              </w:rPr>
              <w:t xml:space="preserve">je </w:t>
            </w:r>
            <w:r w:rsidR="00B90274" w:rsidRPr="004F7E58">
              <w:rPr>
                <w:noProof/>
                <w:lang w:val="bs-Latn-BA"/>
              </w:rPr>
              <w:t>istek</w:t>
            </w:r>
            <w:r w:rsidR="00D0744B" w:rsidRPr="004F7E58">
              <w:rPr>
                <w:noProof/>
                <w:lang w:val="bs-Latn-BA"/>
              </w:rPr>
              <w:t>ao</w:t>
            </w:r>
            <w:r w:rsidR="00B90274" w:rsidRPr="004F7E58">
              <w:rPr>
                <w:noProof/>
                <w:lang w:val="bs-Latn-BA"/>
              </w:rPr>
              <w:t>.</w:t>
            </w:r>
          </w:p>
        </w:tc>
      </w:tr>
    </w:tbl>
    <w:p w14:paraId="2E3F3F03" w14:textId="39C6732A" w:rsidR="00F70765" w:rsidRPr="004F7E58" w:rsidRDefault="00F70765" w:rsidP="00AF1950">
      <w:pPr>
        <w:rPr>
          <w:b/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AF1950" w:rsidRPr="004F7E58" w14:paraId="5AFB2319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0EB2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8280" w14:textId="0EA3C2AA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5F69" w14:textId="0A9945E3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F1950" w:rsidRPr="004F7E58" w14:paraId="2AB2AB40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5BC2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DF9" w14:textId="46E8E61E" w:rsidR="00AF1950" w:rsidRPr="004F7E58" w:rsidRDefault="00FE42D3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IV.5.1 Uvođenje MRS JS u FBIH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8BE3E5" w14:textId="015209EB" w:rsidR="00AF1950" w:rsidRPr="004F7E58" w:rsidRDefault="008018E0" w:rsidP="00F81BF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AF1950" w:rsidRPr="004F7E58" w14:paraId="163BEA06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6ED3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4D73" w14:textId="72F931D2" w:rsidR="00AF1950" w:rsidRPr="004F7E58" w:rsidRDefault="00392346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IV.5.A </w:t>
            </w:r>
            <w:r w:rsidR="008018E0" w:rsidRPr="004F7E58">
              <w:rPr>
                <w:noProof/>
                <w:lang w:val="bs-Latn-BA"/>
              </w:rPr>
              <w:t>FMF usvaja i implementira Mapu puta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10027B" w14:textId="1DBAA5BF" w:rsidR="00AF1950" w:rsidRPr="004F7E58" w:rsidRDefault="00E22A22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AF1950" w:rsidRPr="004F7E58" w14:paraId="47393CA7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138DAAA5" w14:textId="77777777" w:rsidR="00AF1950" w:rsidRPr="004F7E58" w:rsidRDefault="00AF1950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C53257C" w14:textId="77777777" w:rsidR="00651210" w:rsidRPr="004F7E58" w:rsidRDefault="008018E0" w:rsidP="0065121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GAAP analiza je provedena </w:t>
            </w:r>
            <w:r w:rsidR="00D342A9" w:rsidRPr="004F7E58">
              <w:rPr>
                <w:lang w:val="bs-Latn-BA"/>
              </w:rPr>
              <w:t xml:space="preserve">(2022) </w:t>
            </w:r>
            <w:r w:rsidRPr="004F7E58">
              <w:rPr>
                <w:lang w:val="bs-Latn-BA"/>
              </w:rPr>
              <w:t>i dane su preporuke koj</w:t>
            </w:r>
            <w:r w:rsidR="00A93367" w:rsidRPr="004F7E58">
              <w:rPr>
                <w:lang w:val="bs-Latn-BA"/>
              </w:rPr>
              <w:t>e</w:t>
            </w:r>
            <w:r w:rsidRPr="004F7E58">
              <w:rPr>
                <w:lang w:val="bs-Latn-BA"/>
              </w:rPr>
              <w:t xml:space="preserve"> bi standarde trebalo uvesti i u kojim fazama</w:t>
            </w:r>
            <w:r w:rsidR="00A93367" w:rsidRPr="004F7E58">
              <w:rPr>
                <w:lang w:val="bs-Latn-BA"/>
              </w:rPr>
              <w:t xml:space="preserve">, tj. </w:t>
            </w:r>
            <w:r w:rsidRPr="004F7E58">
              <w:rPr>
                <w:lang w:val="bs-Latn-BA"/>
              </w:rPr>
              <w:t>Mapa puta</w:t>
            </w:r>
            <w:r w:rsidR="00A93367" w:rsidRPr="004F7E58">
              <w:rPr>
                <w:lang w:val="bs-Latn-BA"/>
              </w:rPr>
              <w:t xml:space="preserve"> je izrađena</w:t>
            </w:r>
            <w:r w:rsidRPr="004F7E58">
              <w:rPr>
                <w:lang w:val="bs-Latn-BA"/>
              </w:rPr>
              <w:t xml:space="preserve">. </w:t>
            </w:r>
            <w:r w:rsidR="00651210" w:rsidRPr="004F7E58">
              <w:rPr>
                <w:lang w:val="bs-Latn-BA"/>
              </w:rPr>
              <w:t xml:space="preserve">Održavani su kontakti sa Savezom računovođa FBiH u pogledu prevođenja IPSAS što će zahtijevati finansijku i tehničku podršku u predstojećem periodu. </w:t>
            </w:r>
          </w:p>
          <w:p w14:paraId="6110A9F2" w14:textId="3BCEEABA" w:rsidR="00AF1950" w:rsidRPr="004F7E58" w:rsidRDefault="00651210" w:rsidP="0066151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Za 2024. je planirano finaliziranje dogovora oko prevoda (ciljna vrijednost postaje </w:t>
            </w:r>
            <w:r w:rsidR="00661510" w:rsidRPr="004F7E58">
              <w:rPr>
                <w:lang w:val="bs-Latn-BA"/>
              </w:rPr>
              <w:t xml:space="preserve">postizanje dogovora </w:t>
            </w:r>
            <w:r w:rsidRPr="004F7E58">
              <w:rPr>
                <w:lang w:val="bs-Latn-BA"/>
              </w:rPr>
              <w:t xml:space="preserve">oko prijevoda). </w:t>
            </w:r>
            <w:r w:rsidR="00D342A9" w:rsidRPr="004F7E58">
              <w:rPr>
                <w:lang w:val="bs-Latn-BA"/>
              </w:rPr>
              <w:t xml:space="preserve"> </w:t>
            </w:r>
          </w:p>
          <w:p w14:paraId="23212887" w14:textId="4FBB59DB" w:rsidR="00637557" w:rsidRPr="004F7E58" w:rsidRDefault="00184B1E" w:rsidP="0066151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2023. godine </w:t>
            </w:r>
            <w:r w:rsidR="00637557" w:rsidRPr="004F7E58">
              <w:rPr>
                <w:lang w:val="bs-Latn-BA"/>
              </w:rPr>
              <w:t xml:space="preserve">FMF je obezbijedilo podršku Evropske Unije kroz novi projekat koji će raditi na uvođenju MRS JS u FBIH. </w:t>
            </w:r>
            <w:r w:rsidRPr="004F7E58">
              <w:rPr>
                <w:lang w:val="bs-Latn-BA"/>
              </w:rPr>
              <w:t xml:space="preserve">To je širi projekat koji uključuje rad na IPSAS i na izvještavanju o dugu. </w:t>
            </w:r>
          </w:p>
          <w:p w14:paraId="518AA5E8" w14:textId="77777777" w:rsidR="003773C9" w:rsidRPr="004F7E58" w:rsidRDefault="00184B1E" w:rsidP="003773C9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Unutar Sektora za Trezor su se provele izmjene organizacione strukture da bi se na bolji način pristupilo radu na izmjenama računovodstvenih standarda. Prave se dva odsjeka i računovodstvena metodologija se izdvaja iz glavne knjiga trezora..</w:t>
            </w:r>
          </w:p>
          <w:p w14:paraId="796D19C6" w14:textId="2262B34F" w:rsidR="003773C9" w:rsidRPr="004F7E58" w:rsidRDefault="003773C9" w:rsidP="003773C9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Tokom 2023 je otišlo 5 ljudi iz sektora, </w:t>
            </w:r>
            <w:r w:rsidR="006C49DF" w:rsidRPr="004F7E58">
              <w:rPr>
                <w:lang w:val="bs-Latn-BA"/>
              </w:rPr>
              <w:t>š</w:t>
            </w:r>
            <w:r w:rsidRPr="004F7E58">
              <w:rPr>
                <w:lang w:val="bs-Latn-BA"/>
              </w:rPr>
              <w:t xml:space="preserve">to je usporilo rad. Na provedeni konkurs se niko nije prijavio tokom 2024, uslov je bila licenca za racunovođu. Planira se ponoviti konkurs tokom 2025. </w:t>
            </w:r>
          </w:p>
          <w:p w14:paraId="18A32E70" w14:textId="0C992B10" w:rsidR="00D72225" w:rsidRPr="004F7E58" w:rsidRDefault="00D72225" w:rsidP="00661510">
            <w:pPr>
              <w:pStyle w:val="NormalPFM1"/>
              <w:keepNext/>
              <w:rPr>
                <w:lang w:val="bs-Latn-BA"/>
              </w:rPr>
            </w:pPr>
          </w:p>
        </w:tc>
      </w:tr>
      <w:tr w:rsidR="00A90CA0" w:rsidRPr="004F7E58" w14:paraId="32A5950E" w14:textId="77777777" w:rsidTr="0092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8C4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6C8F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5AA7" w14:textId="02F39DFB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C49D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C49D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90CA0" w:rsidRPr="004F7E58" w14:paraId="3A0FD361" w14:textId="77777777" w:rsidTr="0092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281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9F3A" w14:textId="3A036105" w:rsidR="00A90CA0" w:rsidRPr="004F7E58" w:rsidRDefault="00C8254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IV.5.2 Donijeti uputstvo o načinu vođenja knjigovodstva, finansijskog izvještavanja i godišnjeg obračuna za razvojno-investicijske projete, koji se realizuju putem posebnih transakcijskih namjenskih računa koji nisu u okviru JRR-a FBIH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4F08" w14:textId="1E8FF077" w:rsidR="00A90CA0" w:rsidRPr="004F7E58" w:rsidRDefault="00512A59" w:rsidP="00DB68F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Aktivnost se briše</w:t>
            </w:r>
          </w:p>
        </w:tc>
      </w:tr>
      <w:tr w:rsidR="00A90CA0" w:rsidRPr="004F7E58" w14:paraId="689E6D82" w14:textId="77777777" w:rsidTr="0092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F241" w14:textId="77777777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5C10" w14:textId="7158A807" w:rsidR="00A90CA0" w:rsidRPr="004F7E58" w:rsidRDefault="00392346" w:rsidP="00392346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IV.5.B </w:t>
            </w:r>
            <w:r w:rsidR="00C82545" w:rsidRPr="004F7E58">
              <w:rPr>
                <w:noProof/>
                <w:lang w:val="bs-Latn-BA"/>
              </w:rPr>
              <w:t>Primjena Uputstva o načinu vođenja knjigovodstva, finansijskog izvještavanja i godišnjeg obračuna za razvojno-investicijske projekte, koji se realizuju putem posebnih transakcijskih namjenskih računa koji nisu u okviru JRT-a FBiH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B159" w14:textId="5F3B9A31" w:rsidR="00A90CA0" w:rsidRPr="004F7E58" w:rsidRDefault="00A90CA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</w:p>
        </w:tc>
      </w:tr>
      <w:tr w:rsidR="00A90CA0" w:rsidRPr="004F7E58" w14:paraId="3D069315" w14:textId="77777777" w:rsidTr="00924CCD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0DC0DB0" w14:textId="77777777" w:rsidR="00A90CA0" w:rsidRPr="004F7E58" w:rsidRDefault="00A90CA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1A8E1AE" w14:textId="5A0998EE" w:rsidR="00512A59" w:rsidRPr="004F7E58" w:rsidRDefault="00512A59" w:rsidP="000226D2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Ova aktivnost se briše. </w:t>
            </w:r>
            <w:r w:rsidR="002045C4" w:rsidRPr="004F7E58">
              <w:rPr>
                <w:noProof/>
                <w:lang w:val="bs-Latn-BA"/>
              </w:rPr>
              <w:t xml:space="preserve">Ured za reviziju FBIH je dao preporuku da se </w:t>
            </w:r>
            <w:r w:rsidR="00E01A68" w:rsidRPr="004F7E58">
              <w:rPr>
                <w:noProof/>
                <w:lang w:val="bs-Latn-BA"/>
              </w:rPr>
              <w:t xml:space="preserve">računi otvoreni izvan JRT </w:t>
            </w:r>
            <w:r w:rsidR="0033162C" w:rsidRPr="004F7E58">
              <w:rPr>
                <w:noProof/>
                <w:lang w:val="bs-Latn-BA"/>
              </w:rPr>
              <w:t>moraju</w:t>
            </w:r>
            <w:r w:rsidR="00E01A68" w:rsidRPr="004F7E58">
              <w:rPr>
                <w:noProof/>
                <w:lang w:val="bs-Latn-BA"/>
              </w:rPr>
              <w:t xml:space="preserve"> zatvoriti</w:t>
            </w:r>
            <w:r w:rsidRPr="004F7E58">
              <w:rPr>
                <w:noProof/>
                <w:lang w:val="bs-Latn-BA"/>
              </w:rPr>
              <w:t xml:space="preserve"> i samim time je ova aktivnost postala neprovodiva. </w:t>
            </w:r>
          </w:p>
          <w:p w14:paraId="1DA1421C" w14:textId="7124CF96" w:rsidR="00802750" w:rsidRPr="004F7E58" w:rsidRDefault="00802750" w:rsidP="000226D2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Dodana je nova aktivnost (ispod) koja se odnosi na primjenu preporuke revizije. </w:t>
            </w:r>
          </w:p>
          <w:p w14:paraId="3505DD46" w14:textId="01D83F17" w:rsidR="00512A59" w:rsidRPr="004F7E58" w:rsidRDefault="00512A59" w:rsidP="00512A59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50FD60EB" w14:textId="77777777" w:rsidR="00924CCD" w:rsidRPr="004F7E58" w:rsidRDefault="00924CCD">
      <w:pPr>
        <w:rPr>
          <w:lang w:val="fr-FR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512A59" w:rsidRPr="004F7E58" w14:paraId="4BC35098" w14:textId="77777777" w:rsidTr="0092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C74" w14:textId="77777777" w:rsidR="00512A59" w:rsidRPr="004F7E58" w:rsidRDefault="00512A59" w:rsidP="000570E6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459" w14:textId="77777777" w:rsidR="00512A59" w:rsidRPr="004F7E58" w:rsidRDefault="00512A59" w:rsidP="000570E6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ABBD" w14:textId="12EB840D" w:rsidR="00512A59" w:rsidRPr="004F7E58" w:rsidRDefault="00512A59" w:rsidP="000570E6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84B1E" w:rsidRPr="004F7E58" w14:paraId="00DEA74B" w14:textId="77777777" w:rsidTr="00184B1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B661" w14:textId="77777777" w:rsidR="00184B1E" w:rsidRPr="004F7E58" w:rsidRDefault="00184B1E" w:rsidP="00184B1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4F1" w14:textId="5F3D9E9B" w:rsidR="00184B1E" w:rsidRPr="004F7E58" w:rsidRDefault="00184B1E" w:rsidP="00184B1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IV.5.2 Konsolidacija javnih sredstava na Jedinstevnom računu trezora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BF02E2" w14:textId="73945E9A" w:rsidR="00184B1E" w:rsidRPr="004F7E58" w:rsidRDefault="00184B1E" w:rsidP="00184B1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75195A" w:rsidRPr="004F7E58" w14:paraId="18C54677" w14:textId="77777777" w:rsidTr="0075195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A037" w14:textId="77777777" w:rsidR="0075195A" w:rsidRPr="004F7E58" w:rsidRDefault="0075195A" w:rsidP="0075195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21F" w14:textId="3740CF38" w:rsidR="0075195A" w:rsidRPr="004F7E58" w:rsidRDefault="0075195A" w:rsidP="0075195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IV.5.B Zatvaranje posebnih transakcijskih namjenskih računa koji nisu u okviru JRT-a FBiH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B2431B" w14:textId="4947E8CB" w:rsidR="0075195A" w:rsidRPr="004F7E58" w:rsidRDefault="0075195A" w:rsidP="0075195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 mere djelimično postignut</w:t>
            </w:r>
          </w:p>
        </w:tc>
      </w:tr>
    </w:tbl>
    <w:p w14:paraId="572DA87A" w14:textId="6573F547" w:rsidR="00184B1E" w:rsidRPr="004F7E58" w:rsidRDefault="00184B1E" w:rsidP="00184B1E">
      <w:pPr>
        <w:pStyle w:val="NormalPFM1"/>
        <w:keepNext/>
        <w:rPr>
          <w:noProof/>
          <w:lang w:val="bs-Latn-BA"/>
        </w:rPr>
      </w:pPr>
      <w:r w:rsidRPr="004F7E58">
        <w:rPr>
          <w:noProof/>
          <w:lang w:val="bs-Latn-BA"/>
        </w:rPr>
        <w:t xml:space="preserve">Ured za reviziju FBIH je dao preporuku da se računi otvoreni izvan JRT moraju zatvoriti i uvedena je nova aktivnost kroz koju se prati implementacija preporuke. </w:t>
      </w:r>
    </w:p>
    <w:p w14:paraId="33C639E7" w14:textId="3E9B63A3" w:rsidR="00802750" w:rsidRPr="004F7E58" w:rsidRDefault="00802750" w:rsidP="00802750">
      <w:pPr>
        <w:pStyle w:val="NormalPFM1"/>
        <w:keepNext/>
        <w:rPr>
          <w:noProof/>
          <w:lang w:val="bs-Latn-BA"/>
        </w:rPr>
      </w:pPr>
      <w:r w:rsidRPr="004F7E58">
        <w:rPr>
          <w:noProof/>
          <w:lang w:val="bs-Latn-BA"/>
        </w:rPr>
        <w:t>2023. godine dana je Uputa korisnicima za zatvaranje računa.</w:t>
      </w:r>
      <w:r w:rsidR="00184B1E" w:rsidRPr="004F7E58">
        <w:rPr>
          <w:noProof/>
          <w:lang w:val="bs-Latn-BA"/>
        </w:rPr>
        <w:t xml:space="preserve"> J</w:t>
      </w:r>
      <w:r w:rsidRPr="004F7E58">
        <w:rPr>
          <w:noProof/>
          <w:lang w:val="bs-Latn-BA"/>
        </w:rPr>
        <w:t xml:space="preserve">edan korisnik zatvorio račun (Geodetska uprava) dok su drugi u postupku. </w:t>
      </w:r>
    </w:p>
    <w:p w14:paraId="2D6C23F8" w14:textId="59FA8829" w:rsidR="00802750" w:rsidRPr="004F7E58" w:rsidRDefault="00802750" w:rsidP="00184B1E">
      <w:pPr>
        <w:pStyle w:val="NormalPFM1"/>
        <w:keepNext/>
        <w:rPr>
          <w:noProof/>
          <w:lang w:val="bs-Latn-BA"/>
        </w:rPr>
      </w:pPr>
      <w:r w:rsidRPr="004F7E58">
        <w:rPr>
          <w:noProof/>
          <w:lang w:val="bs-Latn-BA"/>
        </w:rPr>
        <w:t>Trezor ima tehničke mogućnosti da u okviru JRT otvara račune za namjenske potrebe koji omogućavaju korisnicima uvid i kontrolu nad potrošnjom sredstava za razvojno – investicijske projekte</w:t>
      </w:r>
      <w:r w:rsidR="00184B1E" w:rsidRPr="004F7E58">
        <w:rPr>
          <w:noProof/>
          <w:lang w:val="bs-Latn-BA"/>
        </w:rPr>
        <w:t xml:space="preserve">, tako da implementacija preporuke neće imati negativnih posljedica za korisnike. </w:t>
      </w:r>
    </w:p>
    <w:p w14:paraId="6BEC3AE3" w14:textId="305E568D" w:rsidR="003773C9" w:rsidRPr="004F7E58" w:rsidRDefault="003773C9" w:rsidP="003773C9">
      <w:pPr>
        <w:rPr>
          <w:lang w:val="bs-Latn-BA"/>
        </w:rPr>
      </w:pPr>
      <w:r w:rsidRPr="004F7E58">
        <w:rPr>
          <w:lang w:val="bs-Latn-BA"/>
        </w:rPr>
        <w:t>Tokom 2024</w:t>
      </w:r>
      <w:r w:rsidR="00D0744B" w:rsidRPr="004F7E58">
        <w:rPr>
          <w:lang w:val="bs-Latn-BA"/>
        </w:rPr>
        <w:t>. godine,</w:t>
      </w:r>
      <w:r w:rsidRPr="004F7E58">
        <w:rPr>
          <w:lang w:val="bs-Latn-BA"/>
        </w:rPr>
        <w:t xml:space="preserve"> Geodetska uprava je zatvorila račun, a </w:t>
      </w:r>
      <w:r w:rsidR="006C49DF" w:rsidRPr="004F7E58">
        <w:rPr>
          <w:lang w:val="bs-Latn-BA"/>
        </w:rPr>
        <w:t xml:space="preserve">sa dva preostala korisnika se radi. </w:t>
      </w:r>
    </w:p>
    <w:p w14:paraId="051939AC" w14:textId="77777777" w:rsidR="00802750" w:rsidRPr="004F7E58" w:rsidRDefault="00802750" w:rsidP="00A90CA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C82545" w:rsidRPr="004F7E58" w14:paraId="6FF49063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AC5" w14:textId="77777777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34EE" w14:textId="77777777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E5F" w14:textId="758ECBFC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773C9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957E29" w:rsidRPr="004F7E58" w14:paraId="69340CB3" w14:textId="77777777" w:rsidTr="003773C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C2A" w14:textId="77777777" w:rsidR="00957E29" w:rsidRPr="004F7E58" w:rsidRDefault="00957E29" w:rsidP="00957E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705" w14:textId="53E84FE5" w:rsidR="00957E29" w:rsidRPr="004F7E58" w:rsidRDefault="00957E29" w:rsidP="00957E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IV.5.3 Povećanje transparentnosti korištenja javnih sredstava (dobitnici grantova i transfera)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D3AC3" w14:textId="60147CAC" w:rsidR="00957E29" w:rsidRPr="004F7E58" w:rsidRDefault="00957E29" w:rsidP="00957E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</w:t>
            </w:r>
            <w:r w:rsidR="003773C9" w:rsidRPr="004F7E58">
              <w:rPr>
                <w:noProof/>
                <w:lang w:val="bs-Latn-BA"/>
              </w:rPr>
              <w:t>nije ni predviđena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C82545" w:rsidRPr="004F7E58" w14:paraId="725B0CAC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2245" w14:textId="77777777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27A" w14:textId="2D9E6087" w:rsidR="00C82545" w:rsidRPr="004F7E58" w:rsidRDefault="00392346" w:rsidP="00392346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IV.5.C </w:t>
            </w:r>
            <w:r w:rsidR="00C82545" w:rsidRPr="004F7E58">
              <w:rPr>
                <w:noProof/>
                <w:lang w:val="bs-Latn-BA"/>
              </w:rPr>
              <w:t>Podaci o dodijeljenim javnim sredstava (dobitnicima grantova i transfera) objavljeni na web stranici su dostupni javnosti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FA21D" w14:textId="77777777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Rok za realizaciju još nije istekao</w:t>
            </w:r>
          </w:p>
        </w:tc>
      </w:tr>
      <w:tr w:rsidR="00C82545" w:rsidRPr="004F7E58" w14:paraId="73F67A06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A021008" w14:textId="77777777" w:rsidR="00C82545" w:rsidRPr="004F7E58" w:rsidRDefault="00C82545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2C2DCBF6" w14:textId="06EA9714" w:rsidR="00C82545" w:rsidRPr="004F7E58" w:rsidRDefault="00C82545" w:rsidP="005F3469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398ECB67" w14:textId="4A2D1A89" w:rsidR="00C82545" w:rsidRPr="004F7E58" w:rsidRDefault="00C82545" w:rsidP="00A90CA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C82545" w:rsidRPr="004F7E58" w14:paraId="703BC2AA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CCD9" w14:textId="77777777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4AE" w14:textId="77777777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480" w14:textId="2D052DBE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8F0F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8F0F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957E29" w:rsidRPr="004F7E58" w14:paraId="4A9070C7" w14:textId="77777777" w:rsidTr="0065280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0D0" w14:textId="77777777" w:rsidR="00957E29" w:rsidRPr="004F7E58" w:rsidRDefault="00957E29" w:rsidP="00957E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3B8C" w14:textId="7F111425" w:rsidR="00957E29" w:rsidRPr="004F7E58" w:rsidRDefault="00957E29" w:rsidP="00957E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IV.5.4 Informatizacija kvartalnog izvještavanja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CF377D" w14:textId="3CEFB6CA" w:rsidR="00957E29" w:rsidRPr="004F7E58" w:rsidRDefault="00652800" w:rsidP="00957E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C82545" w:rsidRPr="004F7E58" w14:paraId="72827BF8" w14:textId="77777777" w:rsidTr="0065280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F3E" w14:textId="77777777" w:rsidR="00C82545" w:rsidRPr="004F7E58" w:rsidRDefault="00C82545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550C" w14:textId="610B9AEB" w:rsidR="00C82545" w:rsidRPr="004F7E58" w:rsidRDefault="00392346" w:rsidP="00392346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IV.5.D </w:t>
            </w:r>
            <w:r w:rsidR="00C82545" w:rsidRPr="004F7E58">
              <w:rPr>
                <w:noProof/>
                <w:lang w:val="bs-Latn-BA"/>
              </w:rPr>
              <w:t>FBiH Kvartalni izvještaji se brže sastavljaju i objavljuju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3E77B0" w14:textId="19BE6DED" w:rsidR="00C82545" w:rsidRPr="004F7E58" w:rsidRDefault="0065280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 mere djelimično postignut</w:t>
            </w:r>
          </w:p>
        </w:tc>
      </w:tr>
      <w:tr w:rsidR="00C82545" w:rsidRPr="004F7E58" w14:paraId="4E9DCEB1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12DABB8D" w14:textId="77777777" w:rsidR="00C82545" w:rsidRPr="004F7E58" w:rsidRDefault="00C82545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4618CA9" w14:textId="419C573A" w:rsidR="00C82545" w:rsidRPr="004F7E58" w:rsidRDefault="00652800" w:rsidP="0066151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Sastavljanje kvartalnih izvještaja se trenutno provodi kroz excel. FMF sastavlja i objavljuje konsolidirane kvartalne izvještaje za čitavu FBIH i </w:t>
            </w:r>
            <w:r w:rsidR="00945227" w:rsidRPr="004F7E58">
              <w:rPr>
                <w:noProof/>
                <w:lang w:val="bs-Latn-BA"/>
              </w:rPr>
              <w:t xml:space="preserve">objavljivanje </w:t>
            </w:r>
            <w:r w:rsidRPr="004F7E58">
              <w:rPr>
                <w:noProof/>
                <w:lang w:val="bs-Latn-BA"/>
              </w:rPr>
              <w:t>kvartaln</w:t>
            </w:r>
            <w:r w:rsidR="00945227" w:rsidRPr="004F7E58">
              <w:rPr>
                <w:noProof/>
                <w:lang w:val="bs-Latn-BA"/>
              </w:rPr>
              <w:t>ih</w:t>
            </w:r>
            <w:r w:rsidRPr="004F7E58">
              <w:rPr>
                <w:noProof/>
                <w:lang w:val="bs-Latn-BA"/>
              </w:rPr>
              <w:t xml:space="preserve"> izvještav</w:t>
            </w:r>
            <w:r w:rsidR="00945227" w:rsidRPr="004F7E58">
              <w:rPr>
                <w:noProof/>
                <w:lang w:val="bs-Latn-BA"/>
              </w:rPr>
              <w:t>aja</w:t>
            </w:r>
            <w:r w:rsidRPr="004F7E58">
              <w:rPr>
                <w:noProof/>
                <w:lang w:val="bs-Latn-BA"/>
              </w:rPr>
              <w:t xml:space="preserve"> je započeto 2023. godine. Međutim, za  dodatnu informatizaciju potrebna je podrška donatora, da bi se omogućilo efikasnije i brže izvještavanje. </w:t>
            </w:r>
            <w:r w:rsidR="008F0F14" w:rsidRPr="004F7E58">
              <w:rPr>
                <w:noProof/>
                <w:lang w:val="bs-Latn-BA"/>
              </w:rPr>
              <w:t xml:space="preserve">FMF i dalje traži podršku donatora. </w:t>
            </w:r>
          </w:p>
          <w:p w14:paraId="6C59DDC5" w14:textId="7F69EA09" w:rsidR="00652800" w:rsidRPr="004F7E58" w:rsidRDefault="00652800" w:rsidP="00661510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70C34DA0" w14:textId="422FCF6C" w:rsidR="00AF1950" w:rsidRPr="004F7E58" w:rsidRDefault="00AF1950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</w:rPr>
      </w:pPr>
      <w:proofErr w:type="spellStart"/>
      <w:r w:rsidRPr="004F7E58">
        <w:rPr>
          <w:b/>
          <w:i w:val="0"/>
          <w:color w:val="C00000"/>
        </w:rPr>
        <w:t>MJERA</w:t>
      </w:r>
      <w:proofErr w:type="spellEnd"/>
      <w:r w:rsidRPr="004F7E58">
        <w:rPr>
          <w:b/>
          <w:i w:val="0"/>
          <w:color w:val="C00000"/>
        </w:rPr>
        <w:t>: IV.</w:t>
      </w:r>
      <w:r w:rsidR="00FE42D3" w:rsidRPr="004F7E58">
        <w:rPr>
          <w:b/>
          <w:i w:val="0"/>
          <w:color w:val="C00000"/>
        </w:rPr>
        <w:t>6</w:t>
      </w:r>
      <w:r w:rsidRPr="004F7E58">
        <w:rPr>
          <w:b/>
          <w:i w:val="0"/>
          <w:color w:val="C00000"/>
        </w:rPr>
        <w:t xml:space="preserve">. </w:t>
      </w:r>
      <w:proofErr w:type="spellStart"/>
      <w:r w:rsidR="0017237D" w:rsidRPr="004F7E58">
        <w:rPr>
          <w:b/>
          <w:i w:val="0"/>
          <w:color w:val="C00000"/>
          <w:sz w:val="24"/>
        </w:rPr>
        <w:t>Unapređenje</w:t>
      </w:r>
      <w:proofErr w:type="spellEnd"/>
      <w:r w:rsidR="0017237D" w:rsidRPr="004F7E58">
        <w:rPr>
          <w:b/>
          <w:i w:val="0"/>
          <w:color w:val="C00000"/>
          <w:sz w:val="24"/>
        </w:rPr>
        <w:t xml:space="preserve"> IT </w:t>
      </w:r>
      <w:proofErr w:type="spellStart"/>
      <w:r w:rsidR="0017237D" w:rsidRPr="004F7E58">
        <w:rPr>
          <w:b/>
          <w:i w:val="0"/>
          <w:color w:val="C00000"/>
          <w:sz w:val="24"/>
        </w:rPr>
        <w:t>sistema</w:t>
      </w:r>
      <w:proofErr w:type="spellEnd"/>
      <w:r w:rsidR="0017237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17237D" w:rsidRPr="004F7E58">
        <w:rPr>
          <w:b/>
          <w:i w:val="0"/>
          <w:color w:val="C00000"/>
          <w:sz w:val="24"/>
        </w:rPr>
        <w:t>trezora</w:t>
      </w:r>
      <w:proofErr w:type="spellEnd"/>
    </w:p>
    <w:p w14:paraId="0F85F222" w14:textId="77777777" w:rsidR="00AF1950" w:rsidRPr="004F7E58" w:rsidRDefault="00AF1950" w:rsidP="00AF1950">
      <w:pPr>
        <w:rPr>
          <w:b/>
        </w:rPr>
      </w:pPr>
    </w:p>
    <w:p w14:paraId="20A6B155" w14:textId="33EF4687" w:rsidR="00AF1950" w:rsidRPr="004F7E58" w:rsidRDefault="00AF1950" w:rsidP="00AF195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93367" w:rsidRPr="004F7E58" w14:paraId="5AF6E75B" w14:textId="77777777" w:rsidTr="00DC7F97">
        <w:tc>
          <w:tcPr>
            <w:tcW w:w="9350" w:type="dxa"/>
          </w:tcPr>
          <w:p w14:paraId="4C00EFA8" w14:textId="717EF7FB" w:rsidR="00A93367" w:rsidRPr="004F7E58" w:rsidRDefault="004A2FC6" w:rsidP="00DC7F9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Jedna aktivnost je provedena u prethodnom periodu a druga je započeta. </w:t>
            </w:r>
          </w:p>
        </w:tc>
      </w:tr>
      <w:tr w:rsidR="00A93367" w:rsidRPr="004F7E58" w14:paraId="7262B448" w14:textId="77777777" w:rsidTr="00DC7F97">
        <w:tc>
          <w:tcPr>
            <w:tcW w:w="9350" w:type="dxa"/>
          </w:tcPr>
          <w:p w14:paraId="4D167A68" w14:textId="03A39322" w:rsidR="00A93367" w:rsidRPr="004F7E58" w:rsidRDefault="00F62885" w:rsidP="00A24CA2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Jedan rezultat mjere </w:t>
            </w:r>
            <w:r w:rsidR="00A24CA2" w:rsidRPr="004F7E58">
              <w:rPr>
                <w:noProof/>
                <w:lang w:val="bs-Latn-BA"/>
              </w:rPr>
              <w:t xml:space="preserve">(korištenje novih modula za potraživanja i osnovna sredstva) </w:t>
            </w:r>
            <w:r w:rsidRPr="004F7E58">
              <w:rPr>
                <w:noProof/>
                <w:lang w:val="bs-Latn-BA"/>
              </w:rPr>
              <w:t>je postignut</w:t>
            </w:r>
            <w:r w:rsidR="006017F1" w:rsidRPr="004F7E58">
              <w:rPr>
                <w:noProof/>
                <w:lang w:val="bs-Latn-BA"/>
              </w:rPr>
              <w:t xml:space="preserve"> u prethodnom izvještajnom periodu</w:t>
            </w:r>
            <w:r w:rsidR="00CA3B63" w:rsidRPr="004F7E58">
              <w:rPr>
                <w:noProof/>
                <w:lang w:val="bs-Latn-BA"/>
              </w:rPr>
              <w:t>,</w:t>
            </w:r>
            <w:r w:rsidRPr="004F7E58">
              <w:rPr>
                <w:noProof/>
                <w:lang w:val="bs-Latn-BA"/>
              </w:rPr>
              <w:t xml:space="preserve"> dok za drugi </w:t>
            </w:r>
            <w:r w:rsidR="00A24CA2" w:rsidRPr="004F7E58">
              <w:rPr>
                <w:noProof/>
                <w:lang w:val="bs-Latn-BA"/>
              </w:rPr>
              <w:t xml:space="preserve">rezultat mjere </w:t>
            </w:r>
            <w:r w:rsidRPr="004F7E58">
              <w:rPr>
                <w:noProof/>
                <w:lang w:val="bs-Latn-BA"/>
              </w:rPr>
              <w:t xml:space="preserve">rok </w:t>
            </w:r>
            <w:r w:rsidR="00A93367" w:rsidRPr="004F7E58">
              <w:rPr>
                <w:noProof/>
                <w:lang w:val="bs-Latn-BA"/>
              </w:rPr>
              <w:t xml:space="preserve">za realizaciju nije istekao. </w:t>
            </w:r>
          </w:p>
        </w:tc>
      </w:tr>
    </w:tbl>
    <w:p w14:paraId="1D29DB84" w14:textId="77777777" w:rsidR="00AF1950" w:rsidRPr="004F7E58" w:rsidRDefault="00AF1950" w:rsidP="00AF1950"/>
    <w:p w14:paraId="31B151A9" w14:textId="77777777" w:rsidR="00103947" w:rsidRPr="004F7E58" w:rsidRDefault="00103947" w:rsidP="00AF1950"/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AF1950" w:rsidRPr="004F7E58" w14:paraId="3B84B390" w14:textId="77777777" w:rsidTr="00F6288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68E8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758F" w14:textId="4227560A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AA5E" w14:textId="4F6FA4FC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FD4780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 xml:space="preserve"> / Ostvarenje u 202</w:t>
            </w:r>
            <w:r w:rsidR="00FD4780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096CD2" w:rsidRPr="004F7E58" w14:paraId="1C9DD3BE" w14:textId="77777777" w:rsidTr="00B546D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65DD" w14:textId="77777777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539" w14:textId="291D0D48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IV.6.1 Dorada sistema trezora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F9BF1F2" w14:textId="5CC9A177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2021. godini</w:t>
            </w:r>
          </w:p>
        </w:tc>
      </w:tr>
      <w:tr w:rsidR="00AF1950" w:rsidRPr="004F7E58" w14:paraId="6DAAEC40" w14:textId="77777777" w:rsidTr="00373BB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931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1D59" w14:textId="6905D823" w:rsidR="00AF1950" w:rsidRPr="004F7E58" w:rsidRDefault="00FB5C38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IV.6.A Budžetski korisnici koriste nove module (modul potraživanja i osnovnih sredstava)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578C37" w14:textId="545DC4C0" w:rsidR="00AF1950" w:rsidRPr="004F7E58" w:rsidRDefault="00F6288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potpuno postignut</w:t>
            </w:r>
          </w:p>
        </w:tc>
      </w:tr>
      <w:tr w:rsidR="00AF1950" w:rsidRPr="004F7E58" w14:paraId="65FF57EB" w14:textId="77777777" w:rsidTr="00F62885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1364C69" w14:textId="77777777" w:rsidR="00AF1950" w:rsidRPr="004F7E58" w:rsidRDefault="00AF1950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E4C73B2" w14:textId="50479A61" w:rsidR="00AF1950" w:rsidRPr="004F7E58" w:rsidRDefault="00FB5C38" w:rsidP="00392346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Dorade sistema trezora koje su planirane kroz Strategiju implementirane su tokom 2021. godine.</w:t>
            </w:r>
            <w:r w:rsidR="00F62885" w:rsidRPr="004F7E58">
              <w:rPr>
                <w:lang w:val="bs-Latn-BA"/>
              </w:rPr>
              <w:t xml:space="preserve"> Modul potraživanja i modul osnovna sredstva su integrisani u sistem trezora. </w:t>
            </w:r>
            <w:r w:rsidRPr="004F7E58">
              <w:rPr>
                <w:lang w:val="bs-Latn-BA"/>
              </w:rPr>
              <w:t>Jedini izuzetak je uvezivanje sa FIA sistemom radi popunjavanja podataka u modul dobavljača. To pitanje je riješeno na drugi način, kroz kontrole unutar sistema.</w:t>
            </w:r>
          </w:p>
        </w:tc>
      </w:tr>
    </w:tbl>
    <w:p w14:paraId="0FDCAD90" w14:textId="77777777" w:rsidR="00AF1950" w:rsidRPr="004F7E58" w:rsidRDefault="00AF1950" w:rsidP="00AF1950">
      <w:pPr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"/>
        <w:gridCol w:w="510"/>
        <w:gridCol w:w="6183"/>
        <w:gridCol w:w="2776"/>
      </w:tblGrid>
      <w:tr w:rsidR="00AF1950" w:rsidRPr="004F7E58" w14:paraId="05D5C56E" w14:textId="77777777" w:rsidTr="0045692E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22F7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134F" w14:textId="36254C0B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6C4E" w14:textId="11C81B0F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8F0F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8F0F14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AF1950" w:rsidRPr="004F7E58" w14:paraId="310AB9C5" w14:textId="77777777" w:rsidTr="00C25898">
        <w:trPr>
          <w:cantSplit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AC6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0884" w14:textId="5A42EC1C" w:rsidR="00AF1950" w:rsidRPr="004F7E58" w:rsidRDefault="00B0676B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IV.6.2 Uspostaviti mehanizam za kontinuirano ažuriranje trezorske aplikacije / programa / sistema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5E69B9" w14:textId="66988D14" w:rsidR="00AF1950" w:rsidRPr="004F7E58" w:rsidRDefault="00C25898" w:rsidP="005F346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AF1950" w:rsidRPr="004F7E58" w14:paraId="3A14BDFB" w14:textId="77777777" w:rsidTr="0045692E">
        <w:trPr>
          <w:gridBefore w:val="1"/>
          <w:wBefore w:w="6" w:type="dxa"/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9310" w14:textId="77777777" w:rsidR="00AF1950" w:rsidRPr="004F7E58" w:rsidRDefault="00AF1950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DC8" w14:textId="019222AF" w:rsidR="00AF1950" w:rsidRPr="004F7E58" w:rsidRDefault="00B0676B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Izrada i usvajanje politika za nadogradnju sistema i redovno kvartalno ažuriranje aplikacije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B6880" w14:textId="75D0AB0C" w:rsidR="00AF1950" w:rsidRPr="004F7E58" w:rsidRDefault="00B0676B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AF1950" w:rsidRPr="004F7E58" w14:paraId="53E4B178" w14:textId="77777777" w:rsidTr="00096CD2">
        <w:trPr>
          <w:cantSplit/>
          <w:trHeight w:val="569"/>
        </w:trPr>
        <w:tc>
          <w:tcPr>
            <w:tcW w:w="516" w:type="dxa"/>
            <w:gridSpan w:val="2"/>
            <w:tcBorders>
              <w:top w:val="single" w:sz="4" w:space="0" w:color="auto"/>
            </w:tcBorders>
          </w:tcPr>
          <w:p w14:paraId="48C92AF6" w14:textId="77777777" w:rsidR="00AF1950" w:rsidRPr="004F7E58" w:rsidRDefault="00AF1950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59" w:type="dxa"/>
            <w:gridSpan w:val="2"/>
            <w:tcBorders>
              <w:top w:val="single" w:sz="4" w:space="0" w:color="auto"/>
            </w:tcBorders>
          </w:tcPr>
          <w:p w14:paraId="71974952" w14:textId="0D737929" w:rsidR="00AF1950" w:rsidRPr="004F7E58" w:rsidRDefault="00C25898" w:rsidP="007A2B2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noProof/>
                <w:lang w:val="bs-Latn-BA"/>
              </w:rPr>
              <w:t>Ova aktivnost je započeta tokom 2023. godine. FMF radi na izradi politika</w:t>
            </w:r>
            <w:r w:rsidR="008F0F14" w:rsidRPr="004F7E58">
              <w:rPr>
                <w:noProof/>
                <w:lang w:val="bs-Latn-BA"/>
              </w:rPr>
              <w:t xml:space="preserve"> skupa sa Sektorom za financijske i zajedničke poslove (uključuju IT).</w:t>
            </w:r>
          </w:p>
        </w:tc>
      </w:tr>
    </w:tbl>
    <w:p w14:paraId="2BA55CF7" w14:textId="77777777" w:rsidR="00D828C0" w:rsidRPr="004F7E58" w:rsidRDefault="00D828C0">
      <w:pPr>
        <w:rPr>
          <w:rFonts w:asciiTheme="majorHAnsi" w:eastAsiaTheme="majorEastAsia" w:hAnsiTheme="majorHAnsi" w:cstheme="majorBidi"/>
          <w:noProof/>
          <w:color w:val="2E74B5" w:themeColor="accent1" w:themeShade="BF"/>
          <w:sz w:val="26"/>
          <w:szCs w:val="26"/>
          <w:lang w:val="bs-Latn-BA"/>
        </w:rPr>
      </w:pPr>
      <w:r w:rsidRPr="004F7E58">
        <w:rPr>
          <w:noProof/>
          <w:lang w:val="bs-Latn-BA"/>
        </w:rPr>
        <w:br w:type="page"/>
      </w:r>
    </w:p>
    <w:p w14:paraId="058B47B6" w14:textId="68D57FD6" w:rsidR="00736605" w:rsidRPr="004F7E58" w:rsidRDefault="00C643CD" w:rsidP="002371EF">
      <w:pPr>
        <w:pStyle w:val="Heading2"/>
        <w:numPr>
          <w:ilvl w:val="1"/>
          <w:numId w:val="31"/>
        </w:numPr>
        <w:ind w:left="0" w:firstLine="0"/>
        <w:rPr>
          <w:b/>
          <w:noProof/>
          <w:color w:val="C00000"/>
          <w:sz w:val="32"/>
          <w:lang w:val="bs-Latn-BA"/>
        </w:rPr>
      </w:pPr>
      <w:bookmarkStart w:id="30" w:name="_Toc214450235"/>
      <w:r w:rsidRPr="004F7E58">
        <w:rPr>
          <w:b/>
          <w:noProof/>
          <w:color w:val="C00000"/>
          <w:sz w:val="32"/>
          <w:lang w:val="bs-Latn-BA"/>
        </w:rPr>
        <w:lastRenderedPageBreak/>
        <w:t>Stub V</w:t>
      </w:r>
      <w:r w:rsidR="00736605" w:rsidRPr="004F7E58">
        <w:rPr>
          <w:b/>
          <w:noProof/>
          <w:color w:val="C00000"/>
          <w:sz w:val="32"/>
          <w:lang w:val="bs-Latn-BA"/>
        </w:rPr>
        <w:t xml:space="preserve">: </w:t>
      </w:r>
      <w:r w:rsidR="00A64986" w:rsidRPr="004F7E58">
        <w:rPr>
          <w:b/>
          <w:noProof/>
          <w:color w:val="C00000"/>
          <w:sz w:val="32"/>
          <w:lang w:val="bs-Latn-BA"/>
        </w:rPr>
        <w:t>UNUTARNJA KONTROLA</w:t>
      </w:r>
      <w:bookmarkEnd w:id="30"/>
    </w:p>
    <w:p w14:paraId="3C1663F3" w14:textId="77777777" w:rsidR="00185F2D" w:rsidRPr="004F7E58" w:rsidRDefault="00185F2D" w:rsidP="00185F2D">
      <w:pPr>
        <w:rPr>
          <w:lang w:val="bs-Latn-BA"/>
        </w:rPr>
      </w:pPr>
    </w:p>
    <w:p w14:paraId="42052B3B" w14:textId="77777777" w:rsidR="00185F2D" w:rsidRPr="004F7E58" w:rsidRDefault="00185F2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31" w:name="_Toc214450236"/>
      <w:r w:rsidRPr="004F7E58">
        <w:rPr>
          <w:b/>
          <w:color w:val="C00000"/>
          <w:lang w:val="bs-Latn-BA"/>
        </w:rPr>
        <w:t>Cilj stuba</w:t>
      </w:r>
      <w:bookmarkEnd w:id="31"/>
    </w:p>
    <w:p w14:paraId="5B585AFC" w14:textId="77777777" w:rsidR="00185F2D" w:rsidRPr="004F7E58" w:rsidRDefault="00185F2D" w:rsidP="00185F2D">
      <w:pPr>
        <w:rPr>
          <w:lang w:val="bs-Latn-BA"/>
        </w:rPr>
      </w:pPr>
    </w:p>
    <w:p w14:paraId="4B4AD321" w14:textId="413D7C81" w:rsidR="00736605" w:rsidRPr="004F7E58" w:rsidRDefault="00F16EA9" w:rsidP="00736605">
      <w:pPr>
        <w:pStyle w:val="NormalPFM1"/>
        <w:rPr>
          <w:lang w:val="bs-Latn-BA"/>
        </w:rPr>
      </w:pPr>
      <w:r w:rsidRPr="004F7E58">
        <w:rPr>
          <w:lang w:val="bs-Latn-BA"/>
        </w:rPr>
        <w:t>Sveobuhvatni cilj je da se kroz funkcionalan i djelotvoran sistem PIFC ublaže ključni rizici u poslovanju i unaprijedi rad organizacija javnog sektora u FBiH.</w:t>
      </w:r>
    </w:p>
    <w:p w14:paraId="6EDE281E" w14:textId="77777777" w:rsidR="00F16EA9" w:rsidRPr="004F7E58" w:rsidRDefault="00F16EA9" w:rsidP="00736605">
      <w:pPr>
        <w:pStyle w:val="NormalPFM1"/>
        <w:rPr>
          <w:noProof/>
          <w:lang w:val="bs-Latn-BA"/>
        </w:rPr>
      </w:pPr>
    </w:p>
    <w:p w14:paraId="109273CE" w14:textId="7A047A8C" w:rsidR="00736605" w:rsidRPr="004F7E58" w:rsidRDefault="00736605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32" w:name="_Toc214450237"/>
      <w:r w:rsidRPr="004F7E58">
        <w:rPr>
          <w:b/>
          <w:color w:val="C00000"/>
          <w:lang w:val="bs-Latn-BA"/>
        </w:rPr>
        <w:t xml:space="preserve">Ostvarenje rezultata stupa u </w:t>
      </w:r>
      <w:r w:rsidR="005A26A9" w:rsidRPr="004F7E58">
        <w:rPr>
          <w:b/>
          <w:color w:val="C00000"/>
          <w:lang w:val="bs-Latn-BA"/>
        </w:rPr>
        <w:t>202</w:t>
      </w:r>
      <w:r w:rsidR="00964C41" w:rsidRPr="004F7E58">
        <w:rPr>
          <w:b/>
          <w:color w:val="C00000"/>
          <w:lang w:val="bs-Latn-BA"/>
        </w:rPr>
        <w:t>4</w:t>
      </w:r>
      <w:r w:rsidRPr="004F7E58">
        <w:rPr>
          <w:b/>
          <w:color w:val="C00000"/>
          <w:lang w:val="bs-Latn-BA"/>
        </w:rPr>
        <w:t>. godini</w:t>
      </w:r>
      <w:bookmarkEnd w:id="32"/>
    </w:p>
    <w:p w14:paraId="5D715F01" w14:textId="77777777" w:rsidR="00736605" w:rsidRPr="004F7E58" w:rsidRDefault="00736605" w:rsidP="00736605">
      <w:pPr>
        <w:rPr>
          <w:lang w:val="bs-Latn-BA"/>
        </w:rPr>
      </w:pPr>
    </w:p>
    <w:p w14:paraId="36157B95" w14:textId="7ED8DDAA" w:rsidR="00964C41" w:rsidRPr="004F7E58" w:rsidRDefault="00964C41" w:rsidP="00964C41">
      <w:pPr>
        <w:rPr>
          <w:lang w:val="bs-Latn-BA"/>
        </w:rPr>
      </w:pPr>
      <w:r w:rsidRPr="004F7E58">
        <w:rPr>
          <w:lang w:val="bs-Latn-BA"/>
        </w:rPr>
        <w:t xml:space="preserve">Od 5 indikatora koji prate napredak postizanja cilja stuba, 2 su postignuta tokom 2021. godine, 2 </w:t>
      </w:r>
      <w:r w:rsidR="00BF512C" w:rsidRPr="004F7E58">
        <w:rPr>
          <w:lang w:val="bs-Latn-BA"/>
        </w:rPr>
        <w:t xml:space="preserve">cilja </w:t>
      </w:r>
      <w:r w:rsidRPr="004F7E58">
        <w:rPr>
          <w:lang w:val="bs-Latn-BA"/>
        </w:rPr>
        <w:t>su postignuta u 2024. godini</w:t>
      </w:r>
      <w:r w:rsidR="00BF512C" w:rsidRPr="004F7E58">
        <w:rPr>
          <w:lang w:val="bs-Latn-BA"/>
        </w:rPr>
        <w:t>,</w:t>
      </w:r>
      <w:r w:rsidRPr="004F7E58">
        <w:rPr>
          <w:lang w:val="bs-Latn-BA"/>
        </w:rPr>
        <w:t xml:space="preserve"> a </w:t>
      </w:r>
      <w:r w:rsidR="00CA7839" w:rsidRPr="004F7E58">
        <w:rPr>
          <w:lang w:val="bs-Latn-BA"/>
        </w:rPr>
        <w:t>jedan</w:t>
      </w:r>
      <w:r w:rsidRPr="004F7E58">
        <w:rPr>
          <w:lang w:val="bs-Latn-BA"/>
        </w:rPr>
        <w:t xml:space="preserve"> je djelimično postignut</w:t>
      </w:r>
      <w:r w:rsidR="00BF512C" w:rsidRPr="004F7E58">
        <w:rPr>
          <w:lang w:val="bs-Latn-BA"/>
        </w:rPr>
        <w:t xml:space="preserve"> (uz napomenu da rok za realizaciju još nije istekao)</w:t>
      </w:r>
      <w:r w:rsidRPr="004F7E58">
        <w:rPr>
          <w:lang w:val="bs-Latn-BA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535"/>
      </w:tblGrid>
      <w:tr w:rsidR="00736605" w:rsidRPr="004F7E58" w14:paraId="152ECCCD" w14:textId="77777777" w:rsidTr="004F7E58">
        <w:trPr>
          <w:trHeight w:val="538"/>
        </w:trPr>
        <w:tc>
          <w:tcPr>
            <w:tcW w:w="5575" w:type="dxa"/>
            <w:vMerge w:val="restart"/>
            <w:vAlign w:val="center"/>
          </w:tcPr>
          <w:p w14:paraId="21C3AE33" w14:textId="4C76EFDC" w:rsidR="00736605" w:rsidRPr="004F7E58" w:rsidRDefault="00CA7839" w:rsidP="00736605">
            <w:pPr>
              <w:jc w:val="center"/>
              <w:rPr>
                <w:noProof/>
              </w:rPr>
            </w:pPr>
            <w:r w:rsidRPr="004F7E58">
              <w:rPr>
                <w:noProof/>
              </w:rPr>
              <w:drawing>
                <wp:inline distT="0" distB="0" distL="0" distR="0" wp14:anchorId="667747BF" wp14:editId="5689965A">
                  <wp:extent cx="2469960" cy="3065123"/>
                  <wp:effectExtent l="0" t="0" r="6985" b="2540"/>
                  <wp:docPr id="22" name="Chart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  <w:p w14:paraId="0EC24994" w14:textId="3C477F44" w:rsidR="00032A72" w:rsidRPr="004F7E58" w:rsidRDefault="00032A72" w:rsidP="00736605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E8D590E" w14:textId="5C35D2AD" w:rsidR="00736605" w:rsidRPr="004F7E58" w:rsidRDefault="007A1329" w:rsidP="00736605">
            <w:pPr>
              <w:rPr>
                <w:b/>
                <w:noProof/>
                <w:sz w:val="18"/>
              </w:rPr>
            </w:pPr>
            <w:r w:rsidRPr="004F7E58">
              <w:t xml:space="preserve"> </w:t>
            </w:r>
            <w:r w:rsidRPr="004F7E58">
              <w:rPr>
                <w:b/>
                <w:noProof/>
                <w:sz w:val="18"/>
              </w:rPr>
              <w:t>Legenda</w:t>
            </w:r>
          </w:p>
        </w:tc>
        <w:tc>
          <w:tcPr>
            <w:tcW w:w="535" w:type="dxa"/>
            <w:vAlign w:val="center"/>
          </w:tcPr>
          <w:p w14:paraId="1F9E40F5" w14:textId="77777777" w:rsidR="00736605" w:rsidRPr="004F7E58" w:rsidRDefault="00736605" w:rsidP="00736605">
            <w:pPr>
              <w:jc w:val="center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#</w:t>
            </w:r>
          </w:p>
        </w:tc>
      </w:tr>
      <w:tr w:rsidR="00736605" w:rsidRPr="004F7E58" w14:paraId="22A6491E" w14:textId="77777777" w:rsidTr="0045692E">
        <w:trPr>
          <w:trHeight w:val="538"/>
        </w:trPr>
        <w:tc>
          <w:tcPr>
            <w:tcW w:w="5575" w:type="dxa"/>
            <w:vMerge/>
            <w:vAlign w:val="center"/>
          </w:tcPr>
          <w:p w14:paraId="3F738720" w14:textId="77777777" w:rsidR="00736605" w:rsidRPr="004F7E58" w:rsidRDefault="00736605" w:rsidP="00736605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4E13A85F" w14:textId="77777777" w:rsidR="00736605" w:rsidRPr="004F7E58" w:rsidRDefault="00736605" w:rsidP="0073660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0000"/>
            <w:vAlign w:val="center"/>
          </w:tcPr>
          <w:p w14:paraId="632F24DE" w14:textId="2DF37FC3" w:rsidR="00736605" w:rsidRPr="004F7E58" w:rsidRDefault="00DF6F2C" w:rsidP="00A13EE7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0</w:t>
            </w:r>
          </w:p>
        </w:tc>
      </w:tr>
      <w:tr w:rsidR="00736605" w:rsidRPr="004F7E58" w14:paraId="6031E355" w14:textId="77777777" w:rsidTr="0045692E">
        <w:trPr>
          <w:trHeight w:val="538"/>
        </w:trPr>
        <w:tc>
          <w:tcPr>
            <w:tcW w:w="5575" w:type="dxa"/>
            <w:vMerge/>
          </w:tcPr>
          <w:p w14:paraId="604FD006" w14:textId="77777777" w:rsidR="00736605" w:rsidRPr="004F7E58" w:rsidRDefault="00736605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70EC64FF" w14:textId="77777777" w:rsidR="00736605" w:rsidRPr="004F7E58" w:rsidRDefault="00736605" w:rsidP="00736605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djelomično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E599" w:themeFill="accent4" w:themeFillTint="66"/>
            <w:vAlign w:val="center"/>
          </w:tcPr>
          <w:p w14:paraId="37EB7D47" w14:textId="5A8CC3DF" w:rsidR="00736605" w:rsidRPr="004F7E58" w:rsidRDefault="00DC48D9" w:rsidP="00A13EE7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1</w:t>
            </w:r>
          </w:p>
        </w:tc>
      </w:tr>
      <w:tr w:rsidR="00DF6F2C" w:rsidRPr="004F7E58" w14:paraId="1AE4D405" w14:textId="77777777" w:rsidTr="00032A72">
        <w:trPr>
          <w:trHeight w:val="538"/>
        </w:trPr>
        <w:tc>
          <w:tcPr>
            <w:tcW w:w="5575" w:type="dxa"/>
            <w:vMerge/>
          </w:tcPr>
          <w:p w14:paraId="07E1E4F8" w14:textId="77777777" w:rsidR="00DF6F2C" w:rsidRPr="004F7E58" w:rsidRDefault="00DF6F2C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0019A177" w14:textId="1867E6DD" w:rsidR="00DF6F2C" w:rsidRPr="004F7E58" w:rsidRDefault="00DF6F2C" w:rsidP="00736605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C5E0B3" w:themeFill="accent6" w:themeFillTint="66"/>
            <w:vAlign w:val="center"/>
          </w:tcPr>
          <w:p w14:paraId="7253FB83" w14:textId="71C5840C" w:rsidR="00DF6F2C" w:rsidRPr="004F7E58" w:rsidRDefault="00DC48D9" w:rsidP="00A13EE7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4</w:t>
            </w:r>
          </w:p>
        </w:tc>
      </w:tr>
      <w:tr w:rsidR="00736605" w:rsidRPr="004F7E58" w14:paraId="7369FB59" w14:textId="77777777" w:rsidTr="0045692E">
        <w:trPr>
          <w:trHeight w:val="538"/>
        </w:trPr>
        <w:tc>
          <w:tcPr>
            <w:tcW w:w="5575" w:type="dxa"/>
            <w:vMerge/>
          </w:tcPr>
          <w:p w14:paraId="71BF3ADB" w14:textId="77777777" w:rsidR="00736605" w:rsidRPr="004F7E58" w:rsidRDefault="00736605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5041E15D" w14:textId="77777777" w:rsidR="00736605" w:rsidRPr="004F7E58" w:rsidRDefault="00736605" w:rsidP="00736605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istekao</w:t>
            </w:r>
            <w:proofErr w:type="spellEnd"/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A6F85BB" w14:textId="62EFBA1C" w:rsidR="00736605" w:rsidRPr="004F7E58" w:rsidRDefault="00DF6F2C" w:rsidP="00A13EE7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0</w:t>
            </w:r>
          </w:p>
        </w:tc>
      </w:tr>
      <w:tr w:rsidR="00736605" w:rsidRPr="004F7E58" w14:paraId="17B45E25" w14:textId="77777777" w:rsidTr="0045692E">
        <w:trPr>
          <w:trHeight w:val="538"/>
        </w:trPr>
        <w:tc>
          <w:tcPr>
            <w:tcW w:w="5575" w:type="dxa"/>
            <w:vMerge/>
          </w:tcPr>
          <w:p w14:paraId="43DC69D0" w14:textId="77777777" w:rsidR="00736605" w:rsidRPr="004F7E58" w:rsidRDefault="00736605" w:rsidP="00736605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79D41A5D" w14:textId="77777777" w:rsidR="00736605" w:rsidRPr="004F7E58" w:rsidRDefault="00736605" w:rsidP="00736605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definirana</w:t>
            </w:r>
            <w:proofErr w:type="spellEnd"/>
          </w:p>
        </w:tc>
        <w:tc>
          <w:tcPr>
            <w:tcW w:w="535" w:type="dxa"/>
            <w:shd w:val="clear" w:color="auto" w:fill="FFCCFF"/>
            <w:vAlign w:val="center"/>
          </w:tcPr>
          <w:p w14:paraId="59045EC4" w14:textId="24FB0F07" w:rsidR="00736605" w:rsidRPr="004F7E58" w:rsidRDefault="00DF6F2C" w:rsidP="00A13EE7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0</w:t>
            </w:r>
          </w:p>
        </w:tc>
      </w:tr>
    </w:tbl>
    <w:p w14:paraId="7D8C7C37" w14:textId="77777777" w:rsidR="00736605" w:rsidRPr="004F7E58" w:rsidRDefault="00736605" w:rsidP="00736605">
      <w:pPr>
        <w:rPr>
          <w:noProof/>
        </w:rPr>
      </w:pPr>
    </w:p>
    <w:p w14:paraId="64A7FF8C" w14:textId="3F722541" w:rsidR="00964C41" w:rsidRPr="004F7E58" w:rsidRDefault="00950CE9" w:rsidP="00964C41">
      <w:pPr>
        <w:rPr>
          <w:noProof/>
          <w:lang w:val="bs-Latn-BA"/>
        </w:rPr>
      </w:pPr>
      <w:r w:rsidRPr="004F7E58">
        <w:rPr>
          <w:noProof/>
        </w:rPr>
        <w:t>U 2021. godini su ostvareni rezultati koji se odnosi na “Unaprijeđeno upravljanje rizicima u ključnim procesima kroz jačanje finansijskog upravljanja i kontrole“ a u 2024 godini ostvaren je rezultat “Dostupan je ažuran pregled stanja javnih internih finansijskih kontrola sa godišnjim preporukama i zaključcima Vladi Federacije o poboljšanju“. Rezultat “Interna revizija usklađena sa međunarodnim standardima osigurava dodatnu vrijednost poslovanju subjekata javnog sektora“ je u izvještajno</w:t>
      </w:r>
      <w:r w:rsidR="00833285" w:rsidRPr="004F7E58">
        <w:rPr>
          <w:noProof/>
        </w:rPr>
        <w:t>m periodu djelimično postignut</w:t>
      </w:r>
      <w:r w:rsidR="00964C41" w:rsidRPr="004F7E58">
        <w:rPr>
          <w:noProof/>
          <w:lang w:val="bs-Latn-BA"/>
        </w:rPr>
        <w:t xml:space="preserve">. </w:t>
      </w: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1946"/>
        <w:gridCol w:w="3065"/>
        <w:gridCol w:w="2016"/>
        <w:gridCol w:w="2323"/>
      </w:tblGrid>
      <w:tr w:rsidR="009A3A4C" w:rsidRPr="004F7E58" w14:paraId="408B23B7" w14:textId="77777777" w:rsidTr="0028401A">
        <w:tc>
          <w:tcPr>
            <w:tcW w:w="1946" w:type="dxa"/>
            <w:shd w:val="clear" w:color="auto" w:fill="D9E2F3" w:themeFill="accent5" w:themeFillTint="33"/>
          </w:tcPr>
          <w:p w14:paraId="4AD8C1D9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Rezultat</w:t>
            </w:r>
          </w:p>
        </w:tc>
        <w:tc>
          <w:tcPr>
            <w:tcW w:w="3065" w:type="dxa"/>
            <w:shd w:val="clear" w:color="auto" w:fill="D9E2F3" w:themeFill="accent5" w:themeFillTint="33"/>
          </w:tcPr>
          <w:p w14:paraId="789186C2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Indikator</w:t>
            </w:r>
          </w:p>
        </w:tc>
        <w:tc>
          <w:tcPr>
            <w:tcW w:w="2016" w:type="dxa"/>
            <w:shd w:val="clear" w:color="auto" w:fill="D9E2F3" w:themeFill="accent5" w:themeFillTint="33"/>
          </w:tcPr>
          <w:p w14:paraId="01EBB405" w14:textId="473AE3DD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Ciljna vrijednost u 202</w:t>
            </w:r>
            <w:r w:rsidR="0083328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  <w:tc>
          <w:tcPr>
            <w:tcW w:w="2323" w:type="dxa"/>
            <w:shd w:val="clear" w:color="auto" w:fill="D9E2F3" w:themeFill="accent5" w:themeFillTint="33"/>
          </w:tcPr>
          <w:p w14:paraId="4A65DAE3" w14:textId="49984021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Ostvarenje u 202</w:t>
            </w:r>
            <w:r w:rsidR="0083328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67B19" w:rsidRPr="004F7E58" w14:paraId="53750C02" w14:textId="77777777" w:rsidTr="0028401A">
        <w:tc>
          <w:tcPr>
            <w:tcW w:w="1946" w:type="dxa"/>
            <w:vMerge w:val="restart"/>
          </w:tcPr>
          <w:p w14:paraId="34E5E784" w14:textId="1610F99C" w:rsidR="00267B19" w:rsidRPr="004F7E58" w:rsidRDefault="00267B19" w:rsidP="00267B19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lastRenderedPageBreak/>
              <w:t>V.A Unaprijeđeno upravljanje rizicima u ključnim procesima kroz jačanje finansijskog upravljanja i kontrole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72EF8A18" w14:textId="7B7F139C" w:rsidR="00267B19" w:rsidRPr="004F7E58" w:rsidRDefault="00267B19" w:rsidP="00267B19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V.A.a Ažurirane Smjernice za upravljanje rizicima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6A919E12" w14:textId="757D0424" w:rsidR="00267B19" w:rsidRPr="004F7E58" w:rsidRDefault="00267B19" w:rsidP="00267B19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Nove, ažurirane Smjernice (2021)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00B050"/>
          </w:tcPr>
          <w:p w14:paraId="6F6A1358" w14:textId="514A5573" w:rsidR="00267B19" w:rsidRPr="004F7E58" w:rsidRDefault="00032A72" w:rsidP="00B174A2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Rezultat stuba ostvaren u </w:t>
            </w:r>
            <w:r w:rsidR="00B174A2" w:rsidRPr="004F7E58">
              <w:rPr>
                <w:noProof/>
                <w:lang w:val="bs-Latn-BA"/>
              </w:rPr>
              <w:t>2021.</w:t>
            </w:r>
          </w:p>
        </w:tc>
      </w:tr>
      <w:tr w:rsidR="00A64986" w:rsidRPr="004F7E58" w14:paraId="286CDCF7" w14:textId="77777777" w:rsidTr="0028401A">
        <w:tc>
          <w:tcPr>
            <w:tcW w:w="1946" w:type="dxa"/>
            <w:vMerge/>
            <w:tcBorders>
              <w:bottom w:val="single" w:sz="4" w:space="0" w:color="auto"/>
            </w:tcBorders>
          </w:tcPr>
          <w:p w14:paraId="70FD3A9B" w14:textId="77777777" w:rsidR="00A64986" w:rsidRPr="004F7E58" w:rsidRDefault="00A64986">
            <w:pPr>
              <w:pStyle w:val="NormalPFM1"/>
              <w:jc w:val="left"/>
              <w:rPr>
                <w:noProof/>
                <w:lang w:val="bs-Latn-BA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3DBE3775" w14:textId="5293543A" w:rsidR="00A64986" w:rsidRPr="004F7E58" w:rsidRDefault="00A64986" w:rsidP="0045692E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V.A.b Informatizovani i unaprijeđeni registri rizika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456253C1" w14:textId="65EE8DDF" w:rsidR="00A64986" w:rsidRPr="004F7E58" w:rsidRDefault="00A64986" w:rsidP="0045692E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Informatizovani registri rizika</w:t>
            </w:r>
            <w:r w:rsidR="00267B19" w:rsidRPr="004F7E58">
              <w:rPr>
                <w:noProof/>
                <w:lang w:val="bs-Latn-BA"/>
              </w:rPr>
              <w:t xml:space="preserve"> (2021)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00B050"/>
          </w:tcPr>
          <w:p w14:paraId="6833DB31" w14:textId="721C7577" w:rsidR="00A64986" w:rsidRPr="004F7E58" w:rsidRDefault="00032A72" w:rsidP="00B174A2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Rezultat stuba ostvaren u </w:t>
            </w:r>
            <w:r w:rsidR="00B174A2" w:rsidRPr="004F7E58">
              <w:rPr>
                <w:noProof/>
                <w:lang w:val="bs-Latn-BA"/>
              </w:rPr>
              <w:t>2021.</w:t>
            </w:r>
          </w:p>
        </w:tc>
      </w:tr>
      <w:tr w:rsidR="00F76614" w:rsidRPr="004F7E58" w14:paraId="3696208C" w14:textId="77777777" w:rsidTr="0028401A"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07BC4" w14:textId="77777777" w:rsidR="00F76614" w:rsidRPr="004F7E58" w:rsidRDefault="00F76614" w:rsidP="00112527">
            <w:pPr>
              <w:pStyle w:val="NormalPFM1"/>
              <w:jc w:val="left"/>
              <w:rPr>
                <w:noProof/>
                <w:lang w:val="bs-Latn-BA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40B66" w14:textId="75A87C87" w:rsidR="00F76614" w:rsidRPr="004F7E58" w:rsidRDefault="00833285" w:rsidP="00267B19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Od 2021. godine u upotrebi je aplikacija PIFC koja između ostalog omogućava elektronsko vođenje registra rizika. Korisnici kojih je trenutno 936 u sistemu imaju besplatan pristup aplikaciji putem koje utvrđuju, procjenjuju, dokumentuju i prate rizike. Tome doprinose i zaključci koje Vlada FBiH donosi uz godišnji konsolidovani izvještaj o funkcionisanju sistema FUK, a kojima nalaže obveznicima da svake godine izrade ili ažuriraju registre rizika i podatke iz istih unesu u aplikaciju PIFC-Modul FUK.</w:t>
            </w:r>
          </w:p>
        </w:tc>
      </w:tr>
      <w:tr w:rsidR="0028401A" w:rsidRPr="004F7E58" w14:paraId="41D47DEE" w14:textId="77777777" w:rsidTr="004F7E58"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103FF183" w14:textId="6BBE3116" w:rsidR="0028401A" w:rsidRPr="004F7E58" w:rsidRDefault="0028401A" w:rsidP="0028401A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V.B Interna revizija usklađena sa međunarodnim standardima osigurava dodatnu vrijednost poslovanju subjekata javnog sektora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0020E2AB" w14:textId="7A726D76" w:rsidR="0028401A" w:rsidRPr="004F7E58" w:rsidRDefault="0028401A" w:rsidP="0028401A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V.B.a Broj provedenih internih revizija u područjima visokog rizika i finansijski značajnih stavki budžeta/finansijskog plana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08A476D1" w14:textId="3BE77817" w:rsidR="0028401A" w:rsidRPr="004F7E58" w:rsidRDefault="0028401A" w:rsidP="0028401A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Povećanje broja internih revizija rizičnih područja za 5%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286EE85A" w14:textId="6C78D662" w:rsidR="0028401A" w:rsidRPr="004F7E58" w:rsidRDefault="0028401A" w:rsidP="0028401A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</w:tr>
      <w:tr w:rsidR="00F76614" w:rsidRPr="004F7E58" w14:paraId="3E4CCFFC" w14:textId="77777777" w:rsidTr="0028401A"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75220" w14:textId="77777777" w:rsidR="00F76614" w:rsidRPr="004F7E58" w:rsidRDefault="00F76614" w:rsidP="00C82545">
            <w:pPr>
              <w:pStyle w:val="NormalPFM1"/>
              <w:jc w:val="left"/>
              <w:rPr>
                <w:noProof/>
                <w:lang w:val="bs-Latn-BA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0904E" w14:textId="43560B6A" w:rsidR="00A21455" w:rsidRPr="004F7E58" w:rsidRDefault="00833285" w:rsidP="00964C4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2024. nije postignuta ciljna vrijednost ali je došlo do povećanja broja ad hoc revizija po nalogu rukovodioca i broja provedenih savjetodavnih angažmana, te revizija FUK, IT i dr.) za 2,5%. Prema dostavljenim podacima u izvještajima interne revizije za 2024. godinu, interni revizori su nastavili pretežno obavljati revizije usklađenosti (usklađenost područja, procesa, sistema sa regulativom - zakonima i drugim propisima, politikama, standardima, planovima, ugovorima, procedurama ili drugim zahtjevima). Zaključkom Vlade FBiH broj: 977/2025 od 04.06.2025. usvojenim uz Godišnji konsolidovani izvještaj interne revizije u javnom sektoru u FBiH zadužuju se rukovodioci jedinica za internu reviziju da planove revidiranja zasnivaju na registrima rizika organizacije i kao prioritet revidiranja odrede najrizičnija područja poslovanja.</w:t>
            </w:r>
          </w:p>
        </w:tc>
      </w:tr>
      <w:tr w:rsidR="00964C41" w:rsidRPr="004F7E58" w14:paraId="0D0E71FE" w14:textId="77777777" w:rsidTr="0028401A">
        <w:tc>
          <w:tcPr>
            <w:tcW w:w="1946" w:type="dxa"/>
            <w:vMerge w:val="restart"/>
            <w:tcBorders>
              <w:top w:val="single" w:sz="4" w:space="0" w:color="auto"/>
              <w:bottom w:val="nil"/>
            </w:tcBorders>
          </w:tcPr>
          <w:p w14:paraId="6E1AD024" w14:textId="5B91F244" w:rsidR="00964C41" w:rsidRPr="004F7E58" w:rsidRDefault="00964C41" w:rsidP="00964C4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V.C Dostupan je ažuran pregled stanja javnih internih finansijskih kontrola sa godišnjim preporukama i zaključcima Vijeću ministara BiH o poboljšanju</w:t>
            </w:r>
          </w:p>
        </w:tc>
        <w:tc>
          <w:tcPr>
            <w:tcW w:w="3065" w:type="dxa"/>
            <w:tcBorders>
              <w:top w:val="single" w:sz="4" w:space="0" w:color="auto"/>
              <w:bottom w:val="nil"/>
            </w:tcBorders>
          </w:tcPr>
          <w:p w14:paraId="15AFD4D7" w14:textId="7069C029" w:rsidR="00964C41" w:rsidRPr="004F7E58" w:rsidRDefault="00964C41" w:rsidP="00964C4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V.C.a Izrađena metodologije za pregled kvaliteta FUK u javnom sektoru u FBiH</w:t>
            </w:r>
          </w:p>
        </w:tc>
        <w:tc>
          <w:tcPr>
            <w:tcW w:w="2016" w:type="dxa"/>
            <w:tcBorders>
              <w:top w:val="single" w:sz="4" w:space="0" w:color="auto"/>
              <w:bottom w:val="nil"/>
            </w:tcBorders>
          </w:tcPr>
          <w:p w14:paraId="1584F4FB" w14:textId="46D7F9AD" w:rsidR="00964C41" w:rsidRPr="004F7E58" w:rsidRDefault="00964C41" w:rsidP="00964C4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aktivnost realizovana 100%</w:t>
            </w:r>
          </w:p>
        </w:tc>
        <w:tc>
          <w:tcPr>
            <w:tcW w:w="2323" w:type="dxa"/>
            <w:tcBorders>
              <w:top w:val="single" w:sz="4" w:space="0" w:color="auto"/>
              <w:bottom w:val="nil"/>
            </w:tcBorders>
            <w:shd w:val="clear" w:color="auto" w:fill="C5E0B3" w:themeFill="accent6" w:themeFillTint="66"/>
          </w:tcPr>
          <w:p w14:paraId="28B6EF7E" w14:textId="69458854" w:rsidR="00964C41" w:rsidRPr="004F7E58" w:rsidRDefault="00964C41" w:rsidP="00964C4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stuba ostvaren u 2024. godini.</w:t>
            </w:r>
          </w:p>
        </w:tc>
      </w:tr>
      <w:tr w:rsidR="00964C41" w:rsidRPr="004F7E58" w14:paraId="44C1809F" w14:textId="77777777" w:rsidTr="0028401A">
        <w:tc>
          <w:tcPr>
            <w:tcW w:w="1946" w:type="dxa"/>
            <w:vMerge/>
            <w:tcBorders>
              <w:top w:val="nil"/>
              <w:bottom w:val="single" w:sz="4" w:space="0" w:color="auto"/>
            </w:tcBorders>
          </w:tcPr>
          <w:p w14:paraId="55F5DC22" w14:textId="77777777" w:rsidR="00964C41" w:rsidRPr="004F7E58" w:rsidRDefault="00964C41" w:rsidP="00964C41">
            <w:pPr>
              <w:pStyle w:val="NormalPFM1"/>
              <w:jc w:val="left"/>
              <w:rPr>
                <w:noProof/>
                <w:lang w:val="bs-Latn-BA"/>
              </w:rPr>
            </w:pPr>
          </w:p>
        </w:tc>
        <w:tc>
          <w:tcPr>
            <w:tcW w:w="3065" w:type="dxa"/>
            <w:tcBorders>
              <w:top w:val="nil"/>
              <w:bottom w:val="single" w:sz="4" w:space="0" w:color="auto"/>
            </w:tcBorders>
          </w:tcPr>
          <w:p w14:paraId="540ADA85" w14:textId="4B6DEC57" w:rsidR="00964C41" w:rsidRPr="004F7E58" w:rsidRDefault="00964C41" w:rsidP="00964C4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V.C.b  Izrađena metodologije za provjeru kvalitete rada interne revizije u javnom sektoru u FBiH</w:t>
            </w:r>
          </w:p>
        </w:tc>
        <w:tc>
          <w:tcPr>
            <w:tcW w:w="2016" w:type="dxa"/>
            <w:tcBorders>
              <w:top w:val="nil"/>
              <w:bottom w:val="single" w:sz="4" w:space="0" w:color="auto"/>
            </w:tcBorders>
          </w:tcPr>
          <w:p w14:paraId="3F6DF5CF" w14:textId="7CC3172D" w:rsidR="00964C41" w:rsidRPr="004F7E58" w:rsidRDefault="00964C41" w:rsidP="00964C41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aktivnost realizovana 100%</w:t>
            </w:r>
          </w:p>
        </w:tc>
        <w:tc>
          <w:tcPr>
            <w:tcW w:w="2323" w:type="dxa"/>
            <w:tcBorders>
              <w:top w:val="nil"/>
              <w:bottom w:val="single" w:sz="4" w:space="0" w:color="auto"/>
            </w:tcBorders>
            <w:shd w:val="clear" w:color="auto" w:fill="C5E0B3" w:themeFill="accent6" w:themeFillTint="66"/>
          </w:tcPr>
          <w:p w14:paraId="787BE9B3" w14:textId="0331EEA8" w:rsidR="00964C41" w:rsidRPr="004F7E58" w:rsidRDefault="00964C41" w:rsidP="00964C41">
            <w:pPr>
              <w:pStyle w:val="NormalPFM1"/>
              <w:jc w:val="left"/>
              <w:rPr>
                <w:noProof/>
                <w:lang w:val="en-US"/>
              </w:rPr>
            </w:pPr>
            <w:r w:rsidRPr="004F7E58">
              <w:rPr>
                <w:noProof/>
                <w:lang w:val="bs-Latn-BA"/>
              </w:rPr>
              <w:t>Rezultat stuba ostvaren u 202</w:t>
            </w:r>
            <w:r w:rsidR="0011196D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 godini.</w:t>
            </w:r>
          </w:p>
        </w:tc>
      </w:tr>
      <w:tr w:rsidR="00EC5C88" w:rsidRPr="004F7E58" w14:paraId="0BF73508" w14:textId="77777777" w:rsidTr="0028401A"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A7813" w14:textId="77777777" w:rsidR="00EC5C88" w:rsidRPr="004F7E58" w:rsidRDefault="00EC5C88" w:rsidP="00EC5C88">
            <w:pPr>
              <w:pStyle w:val="NormalPFM1"/>
              <w:rPr>
                <w:lang w:val="bs-Latn-BA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4C253" w14:textId="77777777" w:rsidR="0011196D" w:rsidRPr="004F7E58" w:rsidRDefault="0011196D" w:rsidP="0011196D">
            <w:pPr>
              <w:pStyle w:val="NormalPFM1"/>
              <w:rPr>
                <w:lang w:val="bs-Latn-BA"/>
              </w:rPr>
            </w:pPr>
            <w:r w:rsidRPr="004F7E58">
              <w:rPr>
                <w:lang w:val="bs-Latn-BA"/>
              </w:rPr>
              <w:t>U 2024. godini objavljen je Pravilnik o izmjenama i dopunama Pravilnika o provođenju finansijskog upravljanja i kontrole u javnom sektoru u Federaciji BiH („Službene novine Federacije BiH“, broj 37/24), u kojima su između ostalog razrađene odredbe u vezi ocjene adekvatnosti i efektivnosti sistema FUK, odnosno provjere kvalitete FUK. Tako je propisano da se povremena provjera kvalitete provodi se na uzorku korisnika javnih sredstava neposrednim uvidom u evidencije i dokumentaciju, razgovorom sa zaposlenima i/ili popunjavanjem odgovarajućeg upitnika, nakon čega CHJ sačinjava izvještaj za rukovodioca korisnika javnih sredstava.  U 2024. izrađen je i upitnik za ocjenu adekvatnosti i efektivnosti sistema FUK koji je uspješno pilotiran kod korisnika.</w:t>
            </w:r>
          </w:p>
          <w:p w14:paraId="6FDFB96D" w14:textId="77777777" w:rsidR="0011196D" w:rsidRPr="004F7E58" w:rsidRDefault="0011196D" w:rsidP="0011196D">
            <w:pPr>
              <w:pStyle w:val="NormalPFM1"/>
              <w:rPr>
                <w:lang w:val="bs-Latn-BA"/>
              </w:rPr>
            </w:pPr>
            <w:r w:rsidRPr="004F7E58">
              <w:rPr>
                <w:lang w:val="bs-Latn-BA"/>
              </w:rPr>
              <w:t>2024. godinu obilježilo je i provođenje prve provjere kvalitete FUK korisnika od CHJ. Postupak provjere kvalitete proveden je kao pilot aktivnost u periodu 18.11.-30.12.2024. godine u Zavodu zdravstvenog osiguranja Hercegovačko-neretvanske županije-kantona, koji je prethodno iskazao zainteresiranost za učešće u navedenoj aktivnosti u cilju procjene kvalitete vlastitog sistema FUK. Postupak provjere kvalitete rezultirao je izvještajem koji je CHJ sačinila za rukovodstvo, sa pratećim preporukama, a proaktivan pristup i blagovremene povratne informacije od rukovodstva i zaposlenih Zavoda doprinijeli su kvaliteti provedenog postupka i potvrdile adekvatnost provedenih aktivnosti i korištenog CHJ upitnika.</w:t>
            </w:r>
          </w:p>
          <w:p w14:paraId="45BD5874" w14:textId="6ACA0AFA" w:rsidR="00A21455" w:rsidRPr="004F7E58" w:rsidRDefault="0011196D" w:rsidP="00A21455">
            <w:pPr>
              <w:pStyle w:val="NormalPFM1"/>
              <w:rPr>
                <w:lang w:val="bs-Latn-BA"/>
              </w:rPr>
            </w:pPr>
            <w:r w:rsidRPr="004F7E58">
              <w:rPr>
                <w:lang w:val="bs-Latn-BA"/>
              </w:rPr>
              <w:t>U 2024. godini izrađena je Metodologija za provođenje osiguranja i unapređenja kvaliteta interne revizije u organizacijama javnog sektora u Federaciji BiH, a ista je objavljena u „Službenim novinama Federacije BiH“, broj: 21/25. Metodologija osigurava da je koncept kvaliteta ugrađen u sve aspekte aktivnosti interne revizije i omogućava procjenu usaglašenosti aktivnosti interne revizije u organizacijama javnog sektora Federacije BiH sa: Zakonom o IR, međunarodnim standardima interne revizije, propisanom metodologijom rada interne revizije i drugim propisima kojima se uređuje oblast interne revizije, kao i procjenu efikasnosti i efektivnosti aktivnosti interne revizije, te identifikovanja mogućnosti za unapređenje kvaliteta interne revizije. Planirana je pilot aktivnost provjere kvalitete IR u 4. kvartalu 2025.</w:t>
            </w:r>
          </w:p>
        </w:tc>
      </w:tr>
    </w:tbl>
    <w:p w14:paraId="448352D1" w14:textId="77777777" w:rsidR="007A2B21" w:rsidRPr="004F7E58" w:rsidRDefault="007A2B21" w:rsidP="007A2B21">
      <w:pPr>
        <w:rPr>
          <w:lang w:val="bs-Latn-BA"/>
        </w:rPr>
      </w:pPr>
    </w:p>
    <w:p w14:paraId="18CC559B" w14:textId="3ECE7799" w:rsidR="00550E6E" w:rsidRPr="004F7E58" w:rsidRDefault="00F13B99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33" w:name="_Toc214450238"/>
      <w:r w:rsidRPr="004F7E58">
        <w:rPr>
          <w:b/>
          <w:color w:val="C00000"/>
          <w:lang w:val="bs-Latn-BA"/>
        </w:rPr>
        <w:t>Statistički pregled statusa aktivnosti i rezultata mjere</w:t>
      </w:r>
      <w:bookmarkEnd w:id="33"/>
    </w:p>
    <w:p w14:paraId="71FCE230" w14:textId="77777777" w:rsidR="00550E6E" w:rsidRPr="004F7E58" w:rsidRDefault="00550E6E" w:rsidP="00550E6E">
      <w:pPr>
        <w:pStyle w:val="NormalPFM1"/>
        <w:rPr>
          <w:noProof/>
          <w:lang w:val="en-US" w:eastAsia="en-U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62"/>
        <w:gridCol w:w="3402"/>
        <w:gridCol w:w="355"/>
        <w:gridCol w:w="356"/>
        <w:gridCol w:w="3825"/>
        <w:gridCol w:w="425"/>
        <w:gridCol w:w="425"/>
      </w:tblGrid>
      <w:tr w:rsidR="00550E6E" w:rsidRPr="004F7E58" w14:paraId="438D51EA" w14:textId="77777777" w:rsidTr="004F7E58">
        <w:trPr>
          <w:trHeight w:val="20"/>
        </w:trPr>
        <w:tc>
          <w:tcPr>
            <w:tcW w:w="562" w:type="dxa"/>
          </w:tcPr>
          <w:p w14:paraId="0D7E4533" w14:textId="6E3328BC" w:rsidR="00550E6E" w:rsidRPr="004F7E58" w:rsidRDefault="005730F2" w:rsidP="00B4595D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="00550E6E" w:rsidRPr="004F7E58">
              <w:rPr>
                <w:rFonts w:cs="Calibri"/>
                <w:noProof/>
                <w:sz w:val="20"/>
                <w:lang w:val="bs-Latn-BA"/>
              </w:rPr>
              <w:t>.1</w:t>
            </w:r>
          </w:p>
        </w:tc>
        <w:tc>
          <w:tcPr>
            <w:tcW w:w="8788" w:type="dxa"/>
            <w:gridSpan w:val="6"/>
            <w:shd w:val="clear" w:color="auto" w:fill="auto"/>
          </w:tcPr>
          <w:p w14:paraId="40316F72" w14:textId="600508F4" w:rsidR="00550E6E" w:rsidRPr="004F7E58" w:rsidRDefault="00F416FA" w:rsidP="00B4595D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Unaprijeđenje upravljačke odgovornosti i  upravljanja rizicima u ključnim procesima kroz jačanje finansijskog upravljanja i kontrole</w:t>
            </w:r>
          </w:p>
        </w:tc>
      </w:tr>
      <w:tr w:rsidR="00550E6E" w:rsidRPr="004F7E58" w14:paraId="5C92C93F" w14:textId="77777777" w:rsidTr="0045692E">
        <w:trPr>
          <w:trHeight w:val="20"/>
        </w:trPr>
        <w:tc>
          <w:tcPr>
            <w:tcW w:w="562" w:type="dxa"/>
          </w:tcPr>
          <w:p w14:paraId="1F8C4E42" w14:textId="3413B514" w:rsidR="00550E6E" w:rsidRPr="004F7E58" w:rsidRDefault="005730F2" w:rsidP="00B4595D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="00550E6E" w:rsidRPr="004F7E58">
              <w:rPr>
                <w:rFonts w:cs="Calibri"/>
                <w:noProof/>
                <w:sz w:val="20"/>
                <w:lang w:val="bs-Latn-BA"/>
              </w:rPr>
              <w:t>.2</w:t>
            </w:r>
          </w:p>
        </w:tc>
        <w:tc>
          <w:tcPr>
            <w:tcW w:w="8788" w:type="dxa"/>
            <w:gridSpan w:val="6"/>
          </w:tcPr>
          <w:p w14:paraId="64A3020E" w14:textId="5C3C8B58" w:rsidR="00550E6E" w:rsidRPr="004F7E58" w:rsidRDefault="00E65F07" w:rsidP="00B4595D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Unaprijeđena operativna funkcija interne revizije kojom se  ostvaruje  dodatna vrijednost</w:t>
            </w:r>
          </w:p>
        </w:tc>
      </w:tr>
      <w:tr w:rsidR="00550E6E" w:rsidRPr="004F7E58" w14:paraId="3E2930E0" w14:textId="77777777" w:rsidTr="0045692E">
        <w:trPr>
          <w:trHeight w:val="20"/>
        </w:trPr>
        <w:tc>
          <w:tcPr>
            <w:tcW w:w="562" w:type="dxa"/>
          </w:tcPr>
          <w:p w14:paraId="063F60E3" w14:textId="44457970" w:rsidR="00550E6E" w:rsidRPr="004F7E58" w:rsidRDefault="005730F2" w:rsidP="00B4595D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="00550E6E" w:rsidRPr="004F7E58">
              <w:rPr>
                <w:rFonts w:cs="Calibri"/>
                <w:noProof/>
                <w:sz w:val="20"/>
                <w:lang w:val="bs-Latn-BA"/>
              </w:rPr>
              <w:t>.3</w:t>
            </w:r>
          </w:p>
        </w:tc>
        <w:tc>
          <w:tcPr>
            <w:tcW w:w="8788" w:type="dxa"/>
            <w:gridSpan w:val="6"/>
          </w:tcPr>
          <w:p w14:paraId="4874A6A0" w14:textId="46D9FD35" w:rsidR="00550E6E" w:rsidRPr="004F7E58" w:rsidRDefault="00E65F07" w:rsidP="00B4595D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Unaprijediti praćenje efektivnosti sistema PIFC</w:t>
            </w:r>
          </w:p>
        </w:tc>
      </w:tr>
      <w:tr w:rsidR="00550E6E" w:rsidRPr="004F7E58" w14:paraId="526B35C6" w14:textId="77777777" w:rsidTr="0045692E">
        <w:trPr>
          <w:trHeight w:val="20"/>
        </w:trPr>
        <w:tc>
          <w:tcPr>
            <w:tcW w:w="562" w:type="dxa"/>
          </w:tcPr>
          <w:p w14:paraId="4D44D8AA" w14:textId="08531664" w:rsidR="00550E6E" w:rsidRPr="004F7E58" w:rsidRDefault="005730F2" w:rsidP="00B4595D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="00550E6E" w:rsidRPr="004F7E58">
              <w:rPr>
                <w:rFonts w:cs="Calibri"/>
                <w:noProof/>
                <w:sz w:val="20"/>
                <w:lang w:val="bs-Latn-BA"/>
              </w:rPr>
              <w:t>.4</w:t>
            </w:r>
          </w:p>
        </w:tc>
        <w:tc>
          <w:tcPr>
            <w:tcW w:w="8788" w:type="dxa"/>
            <w:gridSpan w:val="6"/>
          </w:tcPr>
          <w:p w14:paraId="6538E30C" w14:textId="6EC3716C" w:rsidR="00550E6E" w:rsidRPr="004F7E58" w:rsidRDefault="00E65F07" w:rsidP="00B4595D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Unaprijediti rad budžetske inspekcije</w:t>
            </w:r>
          </w:p>
        </w:tc>
      </w:tr>
      <w:tr w:rsidR="000C1428" w:rsidRPr="004F7E58" w14:paraId="5D101D7D" w14:textId="77777777" w:rsidTr="004F7E58">
        <w:trPr>
          <w:trHeight w:val="20"/>
        </w:trPr>
        <w:tc>
          <w:tcPr>
            <w:tcW w:w="9350" w:type="dxa"/>
            <w:gridSpan w:val="7"/>
            <w:shd w:val="clear" w:color="auto" w:fill="auto"/>
          </w:tcPr>
          <w:p w14:paraId="0A1EDCFA" w14:textId="6331DA6B" w:rsidR="000C1428" w:rsidRPr="004F7E58" w:rsidRDefault="009950BE" w:rsidP="004F7E58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Četiri</w:t>
            </w:r>
            <w:r w:rsidR="000C1428" w:rsidRPr="004F7E58">
              <w:rPr>
                <w:noProof/>
                <w:sz w:val="20"/>
                <w:szCs w:val="20"/>
                <w:lang w:val="bs-Latn-BA"/>
              </w:rPr>
              <w:t xml:space="preserve"> aktivnosti su završene u prethodnom periodu, a dvije tokom 202</w:t>
            </w:r>
            <w:r w:rsidRPr="004F7E58">
              <w:rPr>
                <w:noProof/>
                <w:sz w:val="20"/>
                <w:szCs w:val="20"/>
                <w:lang w:val="bs-Latn-BA"/>
              </w:rPr>
              <w:t>4</w:t>
            </w:r>
            <w:r w:rsidR="000C1428" w:rsidRPr="004F7E58">
              <w:rPr>
                <w:noProof/>
                <w:sz w:val="20"/>
                <w:szCs w:val="20"/>
                <w:lang w:val="bs-Latn-BA"/>
              </w:rPr>
              <w:t>. godine, devet je u toku dok jedna nije započeta</w:t>
            </w:r>
            <w:r w:rsidRPr="004F7E58">
              <w:rPr>
                <w:noProof/>
                <w:sz w:val="20"/>
                <w:szCs w:val="20"/>
                <w:lang w:val="bs-Latn-BA"/>
              </w:rPr>
              <w:t xml:space="preserve"> (nije bila planirana)</w:t>
            </w:r>
            <w:r w:rsidR="000C1428" w:rsidRPr="004F7E58">
              <w:rPr>
                <w:noProof/>
                <w:sz w:val="20"/>
                <w:szCs w:val="20"/>
                <w:lang w:val="bs-Latn-BA"/>
              </w:rPr>
              <w:t xml:space="preserve">. Realizacija rezultata mjere pokazuje da je većina aktivnosti višegodišnjeg karaktera i da rok za realizaciju rezultata nije istekao za 4 aktivnosti, 11 rezultata mjere je djelimično postignuto a jedan rezultat mjere je u potpunosti postignut.  </w:t>
            </w:r>
          </w:p>
        </w:tc>
      </w:tr>
      <w:tr w:rsidR="00550E6E" w:rsidRPr="004F7E58" w14:paraId="50ED946C" w14:textId="77777777" w:rsidTr="004F7E58">
        <w:tc>
          <w:tcPr>
            <w:tcW w:w="4675" w:type="dxa"/>
            <w:gridSpan w:val="4"/>
            <w:shd w:val="clear" w:color="auto" w:fill="auto"/>
          </w:tcPr>
          <w:p w14:paraId="4FE4682E" w14:textId="313401F5" w:rsidR="00550E6E" w:rsidRPr="004F7E58" w:rsidRDefault="009950BE" w:rsidP="004F7E5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A7E9F79" wp14:editId="405C6315">
                  <wp:extent cx="2511166" cy="2368210"/>
                  <wp:effectExtent l="0" t="0" r="3810" b="13335"/>
                  <wp:docPr id="20" name="Chart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087D7B3D" w14:textId="72BB52A5" w:rsidR="00550E6E" w:rsidRPr="004F7E58" w:rsidRDefault="009950BE" w:rsidP="00B4595D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5F54BEC8" wp14:editId="470C3B12">
                  <wp:extent cx="2484521" cy="2368210"/>
                  <wp:effectExtent l="0" t="0" r="11430" b="13335"/>
                  <wp:docPr id="21" name="Chart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7F7C64" w:rsidRPr="004F7E58" w14:paraId="7244DA45" w14:textId="77777777" w:rsidTr="0045692E">
        <w:tc>
          <w:tcPr>
            <w:tcW w:w="3964" w:type="dxa"/>
            <w:gridSpan w:val="2"/>
          </w:tcPr>
          <w:p w14:paraId="5E059A87" w14:textId="5FE7E639" w:rsidR="007F7C64" w:rsidRPr="004F7E58" w:rsidRDefault="007F7C64" w:rsidP="004F7E58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(ali predviđeno u 202</w:t>
            </w:r>
            <w:r w:rsidR="000C1428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F0000"/>
          </w:tcPr>
          <w:p w14:paraId="18061964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3D08DDD5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1832F951" w14:textId="16FB2098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postignuta</w:t>
            </w:r>
          </w:p>
        </w:tc>
        <w:tc>
          <w:tcPr>
            <w:tcW w:w="425" w:type="dxa"/>
            <w:shd w:val="clear" w:color="auto" w:fill="FF0000"/>
          </w:tcPr>
          <w:p w14:paraId="76935018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0C74A75A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274926D4" w14:textId="77777777" w:rsidTr="0045692E">
        <w:tc>
          <w:tcPr>
            <w:tcW w:w="3964" w:type="dxa"/>
            <w:gridSpan w:val="2"/>
          </w:tcPr>
          <w:p w14:paraId="56767A35" w14:textId="744909AF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0C1428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2F2F2" w:themeFill="background1" w:themeFillShade="F2"/>
          </w:tcPr>
          <w:p w14:paraId="1A3B27E3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6A75E0C4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473CACF9" w14:textId="7CC4F258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  <w:tc>
          <w:tcPr>
            <w:tcW w:w="425" w:type="dxa"/>
            <w:shd w:val="clear" w:color="auto" w:fill="FFE599" w:themeFill="accent4" w:themeFillTint="66"/>
          </w:tcPr>
          <w:p w14:paraId="7DC4AA44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7CC4DC6C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56CA6A0F" w14:textId="77777777" w:rsidTr="0045692E">
        <w:tc>
          <w:tcPr>
            <w:tcW w:w="3964" w:type="dxa"/>
            <w:gridSpan w:val="2"/>
          </w:tcPr>
          <w:p w14:paraId="3C6355C7" w14:textId="43E2E635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  <w:tc>
          <w:tcPr>
            <w:tcW w:w="355" w:type="dxa"/>
            <w:shd w:val="clear" w:color="auto" w:fill="FFE599" w:themeFill="accent4" w:themeFillTint="66"/>
          </w:tcPr>
          <w:p w14:paraId="49DE8710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78F04D7F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35D9F56D" w14:textId="7513441A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5A92CD8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462A1091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0617248C" w14:textId="77777777" w:rsidTr="000570E6">
        <w:tc>
          <w:tcPr>
            <w:tcW w:w="3964" w:type="dxa"/>
            <w:gridSpan w:val="2"/>
          </w:tcPr>
          <w:p w14:paraId="2E53A40E" w14:textId="73FBBC02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126197" w:rsidRPr="004F7E58">
              <w:rPr>
                <w:noProof/>
                <w:lang w:val="bs-Latn-BA"/>
              </w:rPr>
              <w:t>u 202</w:t>
            </w:r>
            <w:r w:rsidR="000C1428" w:rsidRPr="004F7E58">
              <w:rPr>
                <w:noProof/>
                <w:lang w:val="bs-Latn-BA"/>
              </w:rPr>
              <w:t>4</w:t>
            </w:r>
          </w:p>
        </w:tc>
        <w:tc>
          <w:tcPr>
            <w:tcW w:w="355" w:type="dxa"/>
            <w:shd w:val="clear" w:color="auto" w:fill="C5E0B3" w:themeFill="accent6" w:themeFillTint="66"/>
          </w:tcPr>
          <w:p w14:paraId="59C9886C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color w:val="FFFF00"/>
                <w:lang w:val="bs-Latn-BA"/>
              </w:rPr>
            </w:pPr>
          </w:p>
        </w:tc>
        <w:tc>
          <w:tcPr>
            <w:tcW w:w="356" w:type="dxa"/>
          </w:tcPr>
          <w:p w14:paraId="2383812F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06FFBBC6" w14:textId="6EF8CF72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BD34A49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13D5A492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37A54317" w14:textId="77777777" w:rsidTr="000570E6">
        <w:tc>
          <w:tcPr>
            <w:tcW w:w="3964" w:type="dxa"/>
            <w:gridSpan w:val="2"/>
          </w:tcPr>
          <w:p w14:paraId="40E1C87B" w14:textId="2B52D5B4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iz prethodnog perioda</w:t>
            </w:r>
          </w:p>
        </w:tc>
        <w:tc>
          <w:tcPr>
            <w:tcW w:w="355" w:type="dxa"/>
            <w:shd w:val="clear" w:color="auto" w:fill="00B050"/>
          </w:tcPr>
          <w:p w14:paraId="30D4E450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72478B6E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3DBCE7E8" w14:textId="7740B794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definirana</w:t>
            </w:r>
          </w:p>
        </w:tc>
        <w:tc>
          <w:tcPr>
            <w:tcW w:w="425" w:type="dxa"/>
            <w:shd w:val="clear" w:color="auto" w:fill="FFCCFF"/>
          </w:tcPr>
          <w:p w14:paraId="13198D52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564F34B1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7F7C64" w:rsidRPr="004F7E58" w14:paraId="25AA6B70" w14:textId="77777777" w:rsidTr="000570E6">
        <w:tc>
          <w:tcPr>
            <w:tcW w:w="3964" w:type="dxa"/>
            <w:gridSpan w:val="2"/>
          </w:tcPr>
          <w:p w14:paraId="5A0BAC8F" w14:textId="08CF9D0F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5" w:type="dxa"/>
          </w:tcPr>
          <w:p w14:paraId="0CE7D6AC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35234D77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265FA4ED" w14:textId="7BEB8AF9" w:rsidR="007F7C64" w:rsidRPr="004F7E58" w:rsidRDefault="007F7C64" w:rsidP="007F7C64">
            <w:pPr>
              <w:pStyle w:val="NormalPFM1"/>
              <w:spacing w:before="0" w:after="0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 u prethodnom periodu</w:t>
            </w:r>
          </w:p>
        </w:tc>
        <w:tc>
          <w:tcPr>
            <w:tcW w:w="425" w:type="dxa"/>
            <w:shd w:val="clear" w:color="auto" w:fill="00B050"/>
          </w:tcPr>
          <w:p w14:paraId="3E46D1A5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3DE56D99" w14:textId="77777777" w:rsidR="007F7C64" w:rsidRPr="004F7E58" w:rsidRDefault="007F7C64" w:rsidP="007F7C64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</w:tbl>
    <w:p w14:paraId="15E86DE6" w14:textId="77777777" w:rsidR="00550E6E" w:rsidRPr="004F7E58" w:rsidRDefault="00550E6E" w:rsidP="00550E6E"/>
    <w:p w14:paraId="2A374716" w14:textId="2E54A6E2" w:rsidR="00736605" w:rsidRPr="004F7E58" w:rsidRDefault="00736605" w:rsidP="002371EF">
      <w:pPr>
        <w:pStyle w:val="Heading4"/>
        <w:numPr>
          <w:ilvl w:val="3"/>
          <w:numId w:val="31"/>
        </w:numPr>
        <w:rPr>
          <w:b/>
          <w:i w:val="0"/>
          <w:color w:val="C00000"/>
          <w:sz w:val="24"/>
        </w:rPr>
      </w:pPr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 xml:space="preserve"> </w:t>
      </w:r>
      <w:r w:rsidR="00DD6650" w:rsidRPr="004F7E58">
        <w:rPr>
          <w:b/>
          <w:i w:val="0"/>
          <w:color w:val="C00000"/>
          <w:sz w:val="24"/>
        </w:rPr>
        <w:t>V</w:t>
      </w:r>
      <w:r w:rsidRPr="004F7E58">
        <w:rPr>
          <w:b/>
          <w:i w:val="0"/>
          <w:color w:val="C00000"/>
          <w:sz w:val="24"/>
        </w:rPr>
        <w:t>.</w:t>
      </w:r>
      <w:r w:rsidR="0026711D" w:rsidRPr="004F7E58">
        <w:rPr>
          <w:b/>
          <w:i w:val="0"/>
          <w:color w:val="C00000"/>
          <w:sz w:val="24"/>
        </w:rPr>
        <w:t>1</w:t>
      </w:r>
      <w:r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Unaprijeđenje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upravljačke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odgovornosti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i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upravljanja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rizicima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u </w:t>
      </w:r>
      <w:proofErr w:type="spellStart"/>
      <w:r w:rsidR="0026711D" w:rsidRPr="004F7E58">
        <w:rPr>
          <w:b/>
          <w:i w:val="0"/>
          <w:color w:val="C00000"/>
          <w:sz w:val="24"/>
        </w:rPr>
        <w:t>ključnim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procesima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kroz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jačanje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finansijskog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upravljanja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i</w:t>
      </w:r>
      <w:proofErr w:type="spellEnd"/>
      <w:r w:rsidR="0026711D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26711D" w:rsidRPr="004F7E58">
        <w:rPr>
          <w:b/>
          <w:i w:val="0"/>
          <w:color w:val="C00000"/>
          <w:sz w:val="24"/>
        </w:rPr>
        <w:t>kontrole</w:t>
      </w:r>
      <w:proofErr w:type="spellEnd"/>
    </w:p>
    <w:p w14:paraId="25AED436" w14:textId="77777777" w:rsidR="00736605" w:rsidRPr="004F7E58" w:rsidRDefault="00736605" w:rsidP="00736605">
      <w:pPr>
        <w:rPr>
          <w:b/>
        </w:rPr>
      </w:pPr>
    </w:p>
    <w:p w14:paraId="3F0FDE74" w14:textId="26A2CA0E" w:rsidR="00736605" w:rsidRPr="004F7E58" w:rsidRDefault="00736605" w:rsidP="00736605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E6BE7" w:rsidRPr="004F7E58" w14:paraId="0DB34EF9" w14:textId="77777777" w:rsidTr="00DC7F97">
        <w:tc>
          <w:tcPr>
            <w:tcW w:w="9350" w:type="dxa"/>
          </w:tcPr>
          <w:p w14:paraId="457DFF2E" w14:textId="7DC578BE" w:rsidR="003E6BE7" w:rsidRPr="004F7E58" w:rsidRDefault="003E6BE7" w:rsidP="00C04CCD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</w:t>
            </w:r>
            <w:r w:rsidR="00C04CCD" w:rsidRPr="004F7E58">
              <w:rPr>
                <w:noProof/>
                <w:lang w:val="bs-Latn-BA"/>
              </w:rPr>
              <w:t>202</w:t>
            </w:r>
            <w:r w:rsidR="007C772C" w:rsidRPr="004F7E58">
              <w:rPr>
                <w:noProof/>
                <w:lang w:val="bs-Latn-BA"/>
              </w:rPr>
              <w:t>1</w:t>
            </w:r>
            <w:r w:rsidR="00C04CCD" w:rsidRPr="004F7E58">
              <w:rPr>
                <w:noProof/>
                <w:lang w:val="bs-Latn-BA"/>
              </w:rPr>
              <w:t>. godini</w:t>
            </w:r>
            <w:r w:rsidRPr="004F7E58">
              <w:rPr>
                <w:noProof/>
                <w:lang w:val="bs-Latn-BA"/>
              </w:rPr>
              <w:t xml:space="preserve"> u okviru mjere je završena jedna aktivnost</w:t>
            </w:r>
            <w:r w:rsidR="00F32118" w:rsidRPr="004F7E58">
              <w:rPr>
                <w:noProof/>
                <w:lang w:val="bs-Latn-BA"/>
              </w:rPr>
              <w:t xml:space="preserve"> (upravljanje rizicima javnih preduzeća)</w:t>
            </w:r>
            <w:r w:rsidRPr="004F7E58">
              <w:rPr>
                <w:noProof/>
                <w:lang w:val="bs-Latn-BA"/>
              </w:rPr>
              <w:t xml:space="preserve">, dok su četiri </w:t>
            </w:r>
            <w:r w:rsidR="00C04CCD" w:rsidRPr="004F7E58">
              <w:rPr>
                <w:noProof/>
                <w:lang w:val="bs-Latn-BA"/>
              </w:rPr>
              <w:t xml:space="preserve">u toku u </w:t>
            </w:r>
            <w:r w:rsidR="00615695" w:rsidRPr="004F7E58">
              <w:rPr>
                <w:noProof/>
                <w:lang w:val="bs-Latn-BA"/>
              </w:rPr>
              <w:t>2024</w:t>
            </w:r>
            <w:r w:rsidR="00C04CCD" w:rsidRPr="004F7E58">
              <w:rPr>
                <w:noProof/>
                <w:lang w:val="bs-Latn-BA"/>
              </w:rPr>
              <w:t xml:space="preserve">. godini </w:t>
            </w:r>
          </w:p>
        </w:tc>
      </w:tr>
      <w:tr w:rsidR="003E6BE7" w:rsidRPr="004F7E58" w14:paraId="3BADA8B2" w14:textId="77777777" w:rsidTr="00DC7F97">
        <w:tc>
          <w:tcPr>
            <w:tcW w:w="9350" w:type="dxa"/>
          </w:tcPr>
          <w:p w14:paraId="32E94FF8" w14:textId="35ED52D4" w:rsidR="003E6BE7" w:rsidRPr="004F7E58" w:rsidRDefault="003E6BE7" w:rsidP="00A0647B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Jedan rezultat mjere je postignut, </w:t>
            </w:r>
            <w:r w:rsidR="00615695" w:rsidRPr="004F7E58">
              <w:rPr>
                <w:noProof/>
                <w:lang w:val="bs-Latn-BA"/>
              </w:rPr>
              <w:t>za tri rezultata rok za realizaciju još nisu istekao a jedan rezultat mjere je djelimično postignut.</w:t>
            </w:r>
          </w:p>
        </w:tc>
      </w:tr>
    </w:tbl>
    <w:p w14:paraId="3A360581" w14:textId="77777777" w:rsidR="003E6BE7" w:rsidRPr="004F7E58" w:rsidRDefault="003E6BE7" w:rsidP="00736605">
      <w:pPr>
        <w:rPr>
          <w:b/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736605" w:rsidRPr="004F7E58" w14:paraId="7E285819" w14:textId="77777777" w:rsidTr="00C0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B2D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AC54" w14:textId="55C9BCC2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816" w14:textId="3A1C80CD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36605" w:rsidRPr="004F7E58" w14:paraId="7E759387" w14:textId="77777777" w:rsidTr="00C0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BB8E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15D1" w14:textId="6A293900" w:rsidR="00736605" w:rsidRPr="004F7E58" w:rsidRDefault="002F5BE8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V.1.1 Interne kontrole su usmjerene na rizike vezane za pouzdano upravljanje prihodima, rashodima, imovinom i obavezama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E1EE09" w14:textId="42D623BB" w:rsidR="00736605" w:rsidRPr="004F7E58" w:rsidRDefault="002F5BE8" w:rsidP="008E24D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736605" w:rsidRPr="004F7E58" w14:paraId="6E8B0BF0" w14:textId="77777777" w:rsidTr="0061569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E16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DF80" w14:textId="23286083" w:rsidR="00736605" w:rsidRPr="004F7E58" w:rsidRDefault="002F5BE8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V.1.A   Unaprijeđene kontrole u upravljanju prihodima, rashodima, imovinom i obavezama;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6EE91" w14:textId="2A0E1B62" w:rsidR="00736605" w:rsidRPr="004F7E58" w:rsidRDefault="0061569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736605" w:rsidRPr="004F7E58" w14:paraId="5C68E8A2" w14:textId="77777777" w:rsidTr="003E6BE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6755D92A" w14:textId="77777777" w:rsidR="00736605" w:rsidRPr="004F7E58" w:rsidRDefault="00736605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7D06EFAE" w14:textId="5D2AF7AB" w:rsidR="002F5BE8" w:rsidRPr="004F7E58" w:rsidRDefault="002F5BE8" w:rsidP="002F5BE8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Tokom 2021. je izrađena aplikacija PIFC koja predviđa elektronsko vođenje registra rizika. U 2021., u okviru Projekta PIFC, izrađen je nacrt novih Smjernica za upravljanje rizicima u javnom sektoru u FBiH., koji je dorađivan  kako je napredovalo testiranje u cilju usklađivanja sa zahtjevima prakse i aplikaciji PIFC (Modul FUK) u dijelu Registara rizika.  </w:t>
            </w:r>
          </w:p>
          <w:p w14:paraId="7083D782" w14:textId="77777777" w:rsidR="00736605" w:rsidRPr="004F7E58" w:rsidRDefault="002F5BE8" w:rsidP="002F5BE8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Vlada FBiH je uz GKI FUK za 2020. donijela Zaključak kojim zadužuje obveznike uspostave i razvoja FUK da nastave razvijati SIK i imenovanje koordinatora za FUK. Iz godišnjih izvještaja o funkcionisanju sistema FUK za 2021. je evidentno da su korisnici nastavili sa ažuriranjem procedura.</w:t>
            </w:r>
          </w:p>
          <w:p w14:paraId="2B205422" w14:textId="77777777" w:rsidR="003E6A09" w:rsidRPr="004F7E58" w:rsidRDefault="003E6A09" w:rsidP="002F5BE8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2022. i 2023. na osnovu zaključaka Vlade FBiH su korisnici nastavili unos ključnih rizika u aplikaciju PIFC i jačanju internih kontrola putem mjera kao odgovora na rizike. Obzirom da je rok za relizaciju mjere 31.12.2025. godine, očekuje se povećanje broja organizacija koje koriste elektronske registre rizika i broja unesenih ključnih rizika u aplikaciji PIFC.</w:t>
            </w:r>
          </w:p>
          <w:p w14:paraId="2FC9665E" w14:textId="124870E0" w:rsidR="00615695" w:rsidRPr="004F7E58" w:rsidRDefault="00615695" w:rsidP="002F5BE8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2024. na osnovu zaključka Vlade FBiH korisnici su nastavili unos ključnih rizika u aplikaciju PIFC i jačanju internih kontrola putem mjera kao odgovora na rizike. Rok za relizaciju mjere bio je 30.11.2024. godine, a po isteku tok roka broj organizacija koje su unijele podatke u elektronske mape procesa i registre rizika u aplikaciju PIFC iznosio je 480.</w:t>
            </w:r>
          </w:p>
        </w:tc>
      </w:tr>
    </w:tbl>
    <w:p w14:paraId="3FB16971" w14:textId="77777777" w:rsidR="00736605" w:rsidRPr="004F7E58" w:rsidRDefault="00736605" w:rsidP="00736605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68"/>
        <w:gridCol w:w="2697"/>
      </w:tblGrid>
      <w:tr w:rsidR="00736605" w:rsidRPr="004F7E58" w14:paraId="4A3267E4" w14:textId="77777777" w:rsidTr="00C0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DEAF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FC1" w14:textId="44E4E68F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B115" w14:textId="5E4A8864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36605" w:rsidRPr="004F7E58" w14:paraId="751CEDB7" w14:textId="77777777" w:rsidTr="00C0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79F0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313" w14:textId="7832D4B6" w:rsidR="00736605" w:rsidRPr="004F7E58" w:rsidRDefault="002F5BE8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V.1.2 Interne kontrole su usmjerene na rizike za srednjoročno planiranje i programsko budžetiranje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2E92427" w14:textId="38EDDA1D" w:rsidR="00736605" w:rsidRPr="004F7E58" w:rsidRDefault="002F5BE8" w:rsidP="00CB2D1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736605" w:rsidRPr="004F7E58" w14:paraId="6C503FDC" w14:textId="77777777" w:rsidTr="00C04C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7EE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9872" w14:textId="199F0A52" w:rsidR="00736605" w:rsidRPr="004F7E58" w:rsidRDefault="002F5BE8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V.1.C  Unaprijeđene kontrole za višegodišnje i programsko planiranje, ciljeve i rezultate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BFEF2" w14:textId="36376CE4" w:rsidR="00736605" w:rsidRPr="004F7E58" w:rsidRDefault="002F5BE8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736605" w:rsidRPr="004F7E58" w14:paraId="072D2AB4" w14:textId="77777777" w:rsidTr="00171FB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DAED2BB" w14:textId="77777777" w:rsidR="00736605" w:rsidRPr="004F7E58" w:rsidRDefault="00736605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B55F984" w14:textId="6167B8EE" w:rsidR="00F74380" w:rsidRPr="004F7E58" w:rsidRDefault="00F74380" w:rsidP="00F7438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Izmjene Zakona o budžetima su izrađene tokom 2021, trenutno se izrađuju podzakonski akti. U programskom formatu je planirana prva objava u 2025 za FBIH, u kantonima u 2027. Piloti se neće raditi nikako. Upravljanje rizicima kao posebna kategorija u ovom procesu nije dovoljno definisana i do rada na budžetu u programskom formatu (što se planira za 202</w:t>
            </w:r>
            <w:r w:rsidR="00615695" w:rsidRPr="004F7E58">
              <w:rPr>
                <w:lang w:val="bs-Latn-BA"/>
              </w:rPr>
              <w:t>5</w:t>
            </w:r>
            <w:r w:rsidRPr="004F7E58">
              <w:rPr>
                <w:lang w:val="bs-Latn-BA"/>
              </w:rPr>
              <w:t xml:space="preserve"> godinu) nije ih moguće primjeniti. </w:t>
            </w:r>
          </w:p>
          <w:p w14:paraId="5E0BD668" w14:textId="0C9C9B02" w:rsidR="00736605" w:rsidRPr="004F7E58" w:rsidRDefault="00615695" w:rsidP="00F74380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Primjena programskog budžetiranja  planirana je u 2025. godini, i tada će se moći ponovo pristupiti ovom pitanju</w:t>
            </w:r>
            <w:r w:rsidRPr="004F7E58">
              <w:rPr>
                <w:noProof/>
                <w:lang w:val="bs-Latn-BA"/>
              </w:rPr>
              <w:t>.</w:t>
            </w:r>
          </w:p>
        </w:tc>
      </w:tr>
    </w:tbl>
    <w:p w14:paraId="6ACBE37A" w14:textId="139BD17B" w:rsidR="00736605" w:rsidRPr="004F7E58" w:rsidRDefault="00736605" w:rsidP="00736605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68"/>
        <w:gridCol w:w="2697"/>
      </w:tblGrid>
      <w:tr w:rsidR="00504813" w:rsidRPr="004F7E58" w14:paraId="128307F3" w14:textId="77777777" w:rsidTr="00171FB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2921" w14:textId="77777777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571" w14:textId="77777777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A59" w14:textId="11FAD932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71FB7" w:rsidRPr="004F7E58" w14:paraId="6BBC7578" w14:textId="77777777" w:rsidTr="00171FB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0EC" w14:textId="77777777" w:rsidR="00171FB7" w:rsidRPr="004F7E58" w:rsidRDefault="00171FB7" w:rsidP="00171FB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7B0" w14:textId="473C5BD5" w:rsidR="00171FB7" w:rsidRPr="004F7E58" w:rsidRDefault="00171FB7" w:rsidP="00171FB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V.1.3 Interne kontrole su usmjerene na rizike vezane za efikasnost poslovnih procesa organizacija javnog sektora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5D9F7D" w14:textId="1696F0DA" w:rsidR="00171FB7" w:rsidRPr="004F7E58" w:rsidRDefault="00171FB7" w:rsidP="00CB2D1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101C53" w:rsidRPr="004F7E58" w14:paraId="1DA234DC" w14:textId="77777777" w:rsidTr="0061569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6E7C" w14:textId="77777777" w:rsidR="00101C53" w:rsidRPr="004F7E58" w:rsidRDefault="00101C53" w:rsidP="00101C5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87C" w14:textId="61C8F405" w:rsidR="00101C53" w:rsidRPr="004F7E58" w:rsidRDefault="00101C53" w:rsidP="00101C53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V.1.D  Brže, dostupnije i transparentnije javne usluge i povećano zadovoljstvo korisnika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F23EE" w14:textId="7804A285" w:rsidR="00101C53" w:rsidRPr="004F7E58" w:rsidRDefault="00615695" w:rsidP="00101C5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504813" w:rsidRPr="004F7E58" w14:paraId="675B5739" w14:textId="77777777" w:rsidTr="00171FB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72D295C4" w14:textId="77777777" w:rsidR="00504813" w:rsidRPr="004F7E58" w:rsidRDefault="00504813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2345BAB" w14:textId="77777777" w:rsidR="00617E5E" w:rsidRPr="004F7E58" w:rsidRDefault="00617E5E" w:rsidP="00617E5E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U 2024. godini na osnovu propisane obaveze i Zaključka Vlade FBiH broj 971/2024 od 20.06.2024. godine, korisnici su nastavili unos ključnih rizika (a među njima i rizika vezanih za: pouzdano upravljanje prihodima, rashodima, imovinom i obavezama, srednjoročno planiranje i programsko budžetiranje, efikasnost poslovnih procesa organizacija javnog sektora) u aplikaciju PIFC i jačanju internih kontrola putem mjera kao odgovora na rizike.</w:t>
            </w:r>
          </w:p>
          <w:p w14:paraId="25BD39B3" w14:textId="04D64256" w:rsidR="00615695" w:rsidRPr="004F7E58" w:rsidRDefault="00617E5E" w:rsidP="00CB2D1F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Na dan 01.12. 2024. godine broj organizacija koje su unijele rizike u aplikaciju PIFC iznosio je 480, što je značajno povećanje u odnosu na prethodni izvještajni period kadaje taj broj iznosio 341. Obzirom da je rok za relizaciju mjere 31.12.2025. godine, očekuje se povećanje broja organizacija koje koriste elektronske registre rizika i broja unesenih ključnih rizika u aplikaciji PIFC.</w:t>
            </w:r>
          </w:p>
        </w:tc>
      </w:tr>
    </w:tbl>
    <w:p w14:paraId="0B7FDC35" w14:textId="77777777" w:rsidR="00F74380" w:rsidRPr="004F7E58" w:rsidRDefault="00F74380" w:rsidP="00736605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504813" w:rsidRPr="004F7E58" w14:paraId="13D8108C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25AF" w14:textId="77777777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8DB5" w14:textId="77777777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1824" w14:textId="3D16D810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617E5E" w:rsidRPr="004F7E58" w14:paraId="71097A06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7AE3" w14:textId="77777777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40DC" w14:textId="76BFCB3B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V.1.4 Ojačavanje upravljačke odgovornost za ciljeve i rezultate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37356D" w14:textId="4DE2BB79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</w:p>
        </w:tc>
      </w:tr>
      <w:tr w:rsidR="00171FB7" w:rsidRPr="004F7E58" w14:paraId="283EAD26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39CF" w14:textId="77777777" w:rsidR="00171FB7" w:rsidRPr="004F7E58" w:rsidRDefault="00171FB7" w:rsidP="00171FB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76F7" w14:textId="131D4045" w:rsidR="00171FB7" w:rsidRPr="004F7E58" w:rsidRDefault="00171FB7" w:rsidP="00171FB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V.1.E Rukovodioci na svim nivoima upravljanja imaju zaduženja, resurse i neophodni stepen autonomije u ostvarivanju ciljeva organizacije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B1C77B" w14:textId="70DF7DEB" w:rsidR="00171FB7" w:rsidRPr="004F7E58" w:rsidRDefault="00B4595D" w:rsidP="00171FB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504813" w:rsidRPr="004F7E58" w14:paraId="1DF3296F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7856133" w14:textId="77777777" w:rsidR="00504813" w:rsidRPr="004F7E58" w:rsidRDefault="00504813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1C00A5E" w14:textId="77777777" w:rsidR="00617E5E" w:rsidRPr="004F7E58" w:rsidRDefault="00617E5E" w:rsidP="00617E5E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Na nivou Federacije BiH na snazi su Smjernice za razvoj upravljačke odgovornosti u javnom sektoru u Federaciji Bosne i Hercegovine („Službene novine FBiH“ broj: 30/21) koje su obavezne koristiti organizacije javnog sektora u Federaciji BiH.</w:t>
            </w:r>
          </w:p>
          <w:p w14:paraId="4AB1B17F" w14:textId="0D0460EB" w:rsidR="00101C53" w:rsidRPr="004F7E58" w:rsidRDefault="00617E5E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U cilju jačanja upravljačke odgovornosti u javnom sektoru u novembru 2024. godini održana je edukacija za rukovodeće državne službenike na temu upravljačke odgovornosti koju je suorganizovala Agencija za državnu službu FBIH, a i u 2025. godina tema upravljačke odgovornosti  planirana je u ciklusu edukacija za rukovodeće državne službenike u FBiH.</w:t>
            </w:r>
          </w:p>
        </w:tc>
      </w:tr>
    </w:tbl>
    <w:p w14:paraId="29E04BAE" w14:textId="14894811" w:rsidR="00504813" w:rsidRPr="004F7E58" w:rsidRDefault="00504813" w:rsidP="00736605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504813" w:rsidRPr="004F7E58" w14:paraId="172D0704" w14:textId="77777777" w:rsidTr="00096CD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77A" w14:textId="77777777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FDA5" w14:textId="77777777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731E" w14:textId="79FB1E5A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61569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096CD2" w:rsidRPr="004F7E58" w14:paraId="36BAA33B" w14:textId="77777777" w:rsidTr="00096CD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203" w14:textId="77777777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815A" w14:textId="4BF24E2D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V.1.5 Unaprijeđenje upravljanja rizicima javnih preduzeća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F421F61" w14:textId="7FC73FBF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2021. godini</w:t>
            </w:r>
          </w:p>
        </w:tc>
      </w:tr>
      <w:tr w:rsidR="00504813" w:rsidRPr="004F7E58" w14:paraId="1827F902" w14:textId="77777777" w:rsidTr="00373BB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3DA" w14:textId="77777777" w:rsidR="00504813" w:rsidRPr="004F7E58" w:rsidRDefault="00504813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FEBC" w14:textId="0D92594C" w:rsidR="00504813" w:rsidRPr="004F7E58" w:rsidRDefault="006A6E92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V.1.F Blagovremene i tačne informacije o pokazateljima finansijske uspješnosti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EBA324A" w14:textId="61BD3DF9" w:rsidR="00504813" w:rsidRPr="004F7E58" w:rsidRDefault="006A6E92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potpuno postignut</w:t>
            </w:r>
            <w:r w:rsidR="00A419F7" w:rsidRPr="004F7E58">
              <w:rPr>
                <w:noProof/>
                <w:lang w:val="bs-Latn-BA"/>
              </w:rPr>
              <w:t xml:space="preserve"> u prethodnom periodu</w:t>
            </w:r>
          </w:p>
        </w:tc>
      </w:tr>
      <w:tr w:rsidR="00504813" w:rsidRPr="004F7E58" w14:paraId="0D18F261" w14:textId="77777777" w:rsidTr="00096CD2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0887713" w14:textId="77777777" w:rsidR="00504813" w:rsidRPr="004F7E58" w:rsidRDefault="00504813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DC9531E" w14:textId="482FBC1A" w:rsidR="006A6E92" w:rsidRPr="004F7E58" w:rsidRDefault="006A6E92" w:rsidP="006A6E92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CHJ je, u saradnji sa PIFC projektom, analizirala regulativu koju primjenjuju javna preduzeća u Federaciji BiH, izradila prijedlog izmjena i dopuna Zakona o javnim preduzećima i Zakona o privrednim društvima i uputila ih nadležom ministarstvu. Izrađena su pitanja za ključne pokazatelje uspješnosti, izvršene obuke na tu temu za javna preduzeća u FBiH i izrađeno uputstvo za popunjavanje upitnika KPU.</w:t>
            </w:r>
          </w:p>
          <w:p w14:paraId="60B7FAAF" w14:textId="5726FD57" w:rsidR="00504813" w:rsidRPr="004F7E58" w:rsidRDefault="006A6E92" w:rsidP="006A6E92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Sva javna preduzeća i privredna društva u većinskom državnom vlasništvu mogu pristupiti PIFC aplikaciji, odjeljku "Ključni pokazatelji uspješnosti" a koordinatori su obučeni na temu mapiranja procesa i upravljanja rizicima. </w:t>
            </w:r>
          </w:p>
        </w:tc>
      </w:tr>
    </w:tbl>
    <w:p w14:paraId="719E6540" w14:textId="77777777" w:rsidR="00504813" w:rsidRPr="004F7E58" w:rsidRDefault="00504813" w:rsidP="00736605">
      <w:pPr>
        <w:pStyle w:val="NormalPFM1"/>
        <w:rPr>
          <w:lang w:val="bs-Latn-BA"/>
        </w:rPr>
      </w:pPr>
    </w:p>
    <w:p w14:paraId="2AE29FFB" w14:textId="55F762F1" w:rsidR="00736605" w:rsidRPr="004F7E58" w:rsidRDefault="00736605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 xml:space="preserve">Mjera: </w:t>
      </w:r>
      <w:r w:rsidR="00DD6650" w:rsidRPr="004F7E58">
        <w:rPr>
          <w:b/>
          <w:i w:val="0"/>
          <w:color w:val="C00000"/>
          <w:sz w:val="24"/>
          <w:lang w:val="bs-Latn-BA"/>
        </w:rPr>
        <w:t>V</w:t>
      </w:r>
      <w:r w:rsidRPr="004F7E58">
        <w:rPr>
          <w:b/>
          <w:i w:val="0"/>
          <w:color w:val="C00000"/>
          <w:sz w:val="24"/>
          <w:lang w:val="bs-Latn-BA"/>
        </w:rPr>
        <w:t xml:space="preserve">.2. </w:t>
      </w:r>
      <w:r w:rsidR="006A6E92" w:rsidRPr="004F7E58">
        <w:rPr>
          <w:b/>
          <w:i w:val="0"/>
          <w:color w:val="C00000"/>
          <w:sz w:val="24"/>
          <w:lang w:val="bs-Latn-BA"/>
        </w:rPr>
        <w:t>Unaprijeđena operativna funkcija interne revizije kojom se ostvaruje dodatna vrijednost</w:t>
      </w:r>
    </w:p>
    <w:p w14:paraId="53201FF2" w14:textId="77777777" w:rsidR="00736605" w:rsidRPr="004F7E58" w:rsidRDefault="00736605" w:rsidP="00736605">
      <w:pPr>
        <w:rPr>
          <w:b/>
          <w:lang w:val="bs-Latn-BA"/>
        </w:rPr>
      </w:pPr>
    </w:p>
    <w:p w14:paraId="127676DC" w14:textId="59C3D514" w:rsidR="00736605" w:rsidRPr="004F7E58" w:rsidRDefault="00736605" w:rsidP="00736605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17E5E" w:rsidRPr="004F7E58" w14:paraId="735FB3DB" w14:textId="77777777" w:rsidTr="00DC7F97">
        <w:tc>
          <w:tcPr>
            <w:tcW w:w="9350" w:type="dxa"/>
          </w:tcPr>
          <w:p w14:paraId="2A5AAB05" w14:textId="167EA026" w:rsidR="00617E5E" w:rsidRPr="004F7E58" w:rsidRDefault="00617E5E" w:rsidP="00617E5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t xml:space="preserve">U </w:t>
            </w:r>
            <w:proofErr w:type="spellStart"/>
            <w:r w:rsidRPr="004F7E58">
              <w:t>prethodnom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periodu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okviru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završene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dvije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aktivnosti</w:t>
            </w:r>
            <w:proofErr w:type="spellEnd"/>
            <w:r w:rsidRPr="004F7E58">
              <w:t xml:space="preserve">, a u </w:t>
            </w:r>
            <w:proofErr w:type="spellStart"/>
            <w:r w:rsidRPr="004F7E58">
              <w:t>izvještajnom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periodu</w:t>
            </w:r>
            <w:proofErr w:type="spellEnd"/>
            <w:r w:rsidRPr="004F7E58">
              <w:t xml:space="preserve"> je </w:t>
            </w:r>
            <w:proofErr w:type="spellStart"/>
            <w:r w:rsidRPr="004F7E58">
              <w:t>završena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još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jedna</w:t>
            </w:r>
            <w:proofErr w:type="spellEnd"/>
            <w:r w:rsidRPr="004F7E58">
              <w:t xml:space="preserve">, </w:t>
            </w:r>
            <w:proofErr w:type="spellStart"/>
            <w:r w:rsidRPr="004F7E58">
              <w:t>dok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dvije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toku</w:t>
            </w:r>
            <w:proofErr w:type="spellEnd"/>
            <w:r w:rsidRPr="004F7E58">
              <w:t xml:space="preserve"> u 2024. </w:t>
            </w:r>
            <w:proofErr w:type="spellStart"/>
            <w:r w:rsidRPr="004F7E58">
              <w:t>godini</w:t>
            </w:r>
            <w:proofErr w:type="spellEnd"/>
            <w:r w:rsidRPr="004F7E58">
              <w:t xml:space="preserve">  </w:t>
            </w:r>
          </w:p>
        </w:tc>
      </w:tr>
      <w:tr w:rsidR="00617E5E" w:rsidRPr="004F7E58" w14:paraId="130E17EE" w14:textId="77777777" w:rsidTr="00DC7F97">
        <w:tc>
          <w:tcPr>
            <w:tcW w:w="9350" w:type="dxa"/>
          </w:tcPr>
          <w:p w14:paraId="3983DEFB" w14:textId="52C2E3FA" w:rsidR="00617E5E" w:rsidRPr="004F7E58" w:rsidRDefault="00617E5E" w:rsidP="00617E5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proofErr w:type="spellStart"/>
            <w:r w:rsidRPr="004F7E58">
              <w:t>Svih</w:t>
            </w:r>
            <w:proofErr w:type="spellEnd"/>
            <w:r w:rsidRPr="004F7E58">
              <w:t xml:space="preserve"> pet </w:t>
            </w:r>
            <w:proofErr w:type="spellStart"/>
            <w:r w:rsidRPr="004F7E58">
              <w:t>rezultata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djelimično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postignuti</w:t>
            </w:r>
            <w:proofErr w:type="spellEnd"/>
            <w:r w:rsidRPr="004F7E58">
              <w:t xml:space="preserve">. </w:t>
            </w:r>
          </w:p>
        </w:tc>
      </w:tr>
    </w:tbl>
    <w:p w14:paraId="48D2414C" w14:textId="451FE311" w:rsidR="00E462AD" w:rsidRPr="004F7E58" w:rsidRDefault="00E462AD" w:rsidP="00736605">
      <w:pPr>
        <w:rPr>
          <w:b/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736605" w:rsidRPr="004F7E58" w14:paraId="6A435DBA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774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D3A2" w14:textId="3C8CF99B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FD9" w14:textId="14C68FB2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36605" w:rsidRPr="004F7E58" w14:paraId="52670D4B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9930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A081" w14:textId="589DF86D" w:rsidR="00736605" w:rsidRPr="004F7E58" w:rsidRDefault="00BE46CA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V.2.1 Interna revizija  je uspostavljena u skladu sa važećim propisima i ispunjava međunarodne standarde za profesionalnu praksu interne revizije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9E3513" w14:textId="6F8B7DC5" w:rsidR="00736605" w:rsidRPr="004F7E58" w:rsidRDefault="00FA53DD" w:rsidP="002B69E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617E5E" w:rsidRPr="004F7E58" w14:paraId="4D719FB8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C598" w14:textId="77777777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3FC4" w14:textId="3ED26C84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V.2.A  Unaprijeđen kvalitet rada interne revizije u skladu sa metodologijom za IR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DD4375" w14:textId="46113B4E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736605" w:rsidRPr="004F7E58" w14:paraId="2CF3C979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1B0922DF" w14:textId="77777777" w:rsidR="00736605" w:rsidRPr="004F7E58" w:rsidRDefault="00736605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D729393" w14:textId="77777777" w:rsidR="00617E5E" w:rsidRPr="004F7E58" w:rsidRDefault="00617E5E" w:rsidP="00617E5E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Tokom 2024. godine CHJ FMF je nastavila davati direktnu podršku obveznicima odgovarajući direktno na upite i tražena pojašnjenja u vezi korištenja aplikacije PIFC i održane su obuke za novoimenovane interne revizore i stručno usavršavanje na temu “Metodologija rada interne revizije u javnom sektoru u Federaciji BiH“</w:t>
            </w:r>
          </w:p>
          <w:p w14:paraId="3790FEC9" w14:textId="77777777" w:rsidR="00617E5E" w:rsidRPr="004F7E58" w:rsidRDefault="00617E5E" w:rsidP="0035310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Nova Metodologija rada interne revizije objavljena je u Službenim novinama br. 20/23 i realizovane su edukacije na temu njene primjene. Obzirom da su od januara 2025. godine na snazi novi međunarodni standardi interne revizije (GIAS), pokrenute su aktivnosti na usklađivanju metodologije rada IR i GIAS, uz podršku ReSpa projekta. Aktivnost je planirana u prvom kvartalu 2026. godine.</w:t>
            </w:r>
          </w:p>
          <w:p w14:paraId="57DF4F58" w14:textId="38E829D2" w:rsidR="00736605" w:rsidRPr="004F7E58" w:rsidRDefault="00617E5E" w:rsidP="00353101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Izmjenama i dopunama Pravilnika o uslovima za obavljanje poslova interne revizije u javnom sektoru u FBiH su izrađene i objavljene u Službenim novinama br. 42/24 precizira se vrsta, način i broj bodova kontinuirane profesionalne edukacije internih revizora u cilju daljeg razvoja njihove stručnosti i same profesije, te obaveza i način izvještavanja o istome prema kojima je interni revizor obavezan u okviru programa stalnog profesionalnog razvoja u toku jedne kalendarske godine sakupiti minimalno 40 bodova putem različitih vrsta KPE.</w:t>
            </w:r>
          </w:p>
        </w:tc>
      </w:tr>
    </w:tbl>
    <w:p w14:paraId="1F84ED04" w14:textId="77777777" w:rsidR="00736605" w:rsidRPr="004F7E58" w:rsidRDefault="00736605" w:rsidP="00736605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736605" w:rsidRPr="004F7E58" w14:paraId="28DDEFD5" w14:textId="77777777" w:rsidTr="00096CD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5EC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5EA" w14:textId="3942761D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EA0E" w14:textId="42E79EB5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096CD2" w:rsidRPr="004F7E58" w14:paraId="547B6A18" w14:textId="77777777" w:rsidTr="00096CD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8290" w14:textId="77777777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364" w14:textId="1A5C40D2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V.2.2 Funkcija interne revizije je adekvatno pozicionirana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4EDDE71" w14:textId="757A2CC0" w:rsidR="00096CD2" w:rsidRPr="004F7E58" w:rsidRDefault="00096CD2" w:rsidP="00096CD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</w:t>
            </w:r>
            <w:r w:rsidR="004F485A" w:rsidRPr="004F7E58">
              <w:rPr>
                <w:noProof/>
                <w:lang w:val="bs-Latn-BA"/>
              </w:rPr>
              <w:t>2</w:t>
            </w:r>
            <w:r w:rsidRPr="004F7E58">
              <w:rPr>
                <w:noProof/>
                <w:lang w:val="bs-Latn-BA"/>
              </w:rPr>
              <w:t>. godini</w:t>
            </w:r>
          </w:p>
        </w:tc>
      </w:tr>
      <w:tr w:rsidR="00736605" w:rsidRPr="004F7E58" w14:paraId="4901BB39" w14:textId="77777777" w:rsidTr="00096CD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FAC7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8E3" w14:textId="6F516AE7" w:rsidR="00736605" w:rsidRPr="004F7E58" w:rsidRDefault="00FA53DD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V.2.B  Usklađen status internih revizora na svim nivoima FBIH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107914" w14:textId="64E43889" w:rsidR="00736605" w:rsidRPr="004F7E58" w:rsidRDefault="00ED60BA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736605" w:rsidRPr="004F7E58" w14:paraId="7413BB93" w14:textId="77777777" w:rsidTr="00096CD2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62785412" w14:textId="77777777" w:rsidR="00736605" w:rsidRPr="004F7E58" w:rsidRDefault="00736605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7466EC1" w14:textId="2731F9DB" w:rsidR="00736605" w:rsidRPr="004F7E58" w:rsidRDefault="00617E5E" w:rsidP="0035310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Inicijativa za imjene Zakona o platama je dostavljena nadležnim organima, ali izmjene još nisu usvojene.</w:t>
            </w:r>
          </w:p>
        </w:tc>
      </w:tr>
    </w:tbl>
    <w:p w14:paraId="340FF1F6" w14:textId="12089646" w:rsidR="00736605" w:rsidRPr="004F7E58" w:rsidRDefault="00736605" w:rsidP="00736605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9506EB" w:rsidRPr="004F7E58" w14:paraId="58F793BD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2B81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DB0A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D0A" w14:textId="3BB2AA96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9506EB" w:rsidRPr="004F7E58" w14:paraId="37494A85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A449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4A33" w14:textId="5FB33348" w:rsidR="009506EB" w:rsidRPr="004F7E58" w:rsidRDefault="0092207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V.2.3 Kadrovski kapaciteti  interne revizije su ojačani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0CD83E3" w14:textId="185EB289" w:rsidR="009506EB" w:rsidRPr="004F7E58" w:rsidRDefault="00922077" w:rsidP="004055B3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617E5E" w:rsidRPr="004F7E58" w14:paraId="297F15AF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ACDB" w14:textId="77777777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0D8D" w14:textId="677A4E7C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V.2.C  Bolja pokrivenost javnog sektora Federacije funkcijom interne revizije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A549258" w14:textId="100D10F6" w:rsidR="00617E5E" w:rsidRPr="004F7E58" w:rsidRDefault="00617E5E" w:rsidP="00617E5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9506EB" w:rsidRPr="004F7E58" w14:paraId="323BD84E" w14:textId="77777777" w:rsidTr="00617E5E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B6F9AA4" w14:textId="77777777" w:rsidR="009506EB" w:rsidRPr="004F7E58" w:rsidRDefault="009506E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68952E5" w14:textId="77777777" w:rsidR="00617E5E" w:rsidRPr="004F7E58" w:rsidRDefault="00617E5E" w:rsidP="00617E5E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Na prijedlog CHJ, Vlada Federacije BiH je kroz zaključke uz godišnje konsolidovane izvještaje interne revizije. Zaključcima se nalagalo: obveznicima da uspostave funkciju interne revizije i izvrše popunjavanje sa najmanje 2 izvršioca u jedinicama, a jedinici za budžetsku inspekciju Federalnog ministarstva finansija naloženo je da provede nadzor nad uspostavom interne revizije. Budžetska inspekcija </w:t>
            </w:r>
          </w:p>
          <w:p w14:paraId="1120CBEC" w14:textId="06741C84" w:rsidR="009506EB" w:rsidRPr="004F7E58" w:rsidRDefault="00617E5E" w:rsidP="0035310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Također, i uz KI IR za 2024. godinu Vlada FBiH je usvojila Zaključak broj: 977/2025 kojim se zadužuju organizacije javnog sektora u Federaciji koje imaju obavezu uspostave jedinica interne revizije da poduzmu aktivnosti u vezi s uspostavom i popunjavanjem jedinica interne revizije. Prema podacima iz dostavljenih izvještaja interne revizije za 2024. godinu, na dan 31.12.2024. godine bilo zaposleno 185 internih revizora. Sistematizovana jedinica u 81 organizaciji od 90 obveznika (90% obveznika ima sistematizovanu JIR), ali u samo 29 jedinica rade dva i više internih revizora (samo 36% jedinica ispunjava minimalne zahtjeve po pitanju broja zaposlenih).</w:t>
            </w:r>
          </w:p>
        </w:tc>
      </w:tr>
    </w:tbl>
    <w:p w14:paraId="0FA1FBAA" w14:textId="544068E5" w:rsidR="009506EB" w:rsidRPr="004F7E58" w:rsidRDefault="009506EB" w:rsidP="00736605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2"/>
        <w:gridCol w:w="2763"/>
      </w:tblGrid>
      <w:tr w:rsidR="009506EB" w:rsidRPr="004F7E58" w14:paraId="314D388D" w14:textId="77777777" w:rsidTr="001542C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98E5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E33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DF88" w14:textId="6C44C97A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542CD" w:rsidRPr="004F7E58" w14:paraId="4C1268F6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262" w14:textId="77777777" w:rsidR="001542CD" w:rsidRPr="004F7E58" w:rsidRDefault="001542CD" w:rsidP="001542C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7FA7" w14:textId="5BA4424A" w:rsidR="001542CD" w:rsidRPr="004F7E58" w:rsidRDefault="001542CD" w:rsidP="001542C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V.2.4  Interna revizija je usmjerena na pružanje dodatne vrijednosti u visokorizičnim oblastima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95DB7E" w14:textId="1FD1745A" w:rsidR="001542CD" w:rsidRPr="004F7E58" w:rsidRDefault="00617E5E" w:rsidP="000878CB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</w:t>
            </w:r>
          </w:p>
        </w:tc>
      </w:tr>
      <w:tr w:rsidR="009506EB" w:rsidRPr="004F7E58" w14:paraId="69C55B8A" w14:textId="77777777" w:rsidTr="00A0647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1DE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3CF2" w14:textId="70D8DA6E" w:rsidR="009506EB" w:rsidRPr="004F7E58" w:rsidRDefault="001542CD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V.2.D Interna revizija pruža mjerljive efekte rada u oblastima od strateškog značaja za organizacije u javnom sektoru u FBiH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50EDF4" w14:textId="3C79AA17" w:rsidR="009506EB" w:rsidRPr="004F7E58" w:rsidRDefault="00412838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9506EB" w:rsidRPr="004F7E58" w14:paraId="3175B4E5" w14:textId="77777777" w:rsidTr="001542CD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355BC49" w14:textId="77777777" w:rsidR="009506EB" w:rsidRPr="004F7E58" w:rsidRDefault="009506E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0012FBF6" w14:textId="77777777" w:rsidR="00617E5E" w:rsidRPr="004F7E58" w:rsidRDefault="00617E5E" w:rsidP="00617E5E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Zaključak Vlade FBiH broj: 1043/2022 od 07.07.2022. obavezao je rukovodioce jedinica za internu reviziju da prilikom sačinjavanja planova interne revizije poseban značaj daju najrizičnijim područjima poslovanja i uvrste ih u svoje planove revidiranja.</w:t>
            </w:r>
          </w:p>
          <w:p w14:paraId="7358CD54" w14:textId="77777777" w:rsidR="00617E5E" w:rsidRPr="004F7E58" w:rsidRDefault="00617E5E" w:rsidP="00617E5E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Također i uz Konsolidovani izvještaj interne revizije za 2024. godinu  donesen je Zaključak broj 977/2025 od 04.06.2025. godine usvojenim uz Konsolidovani izvještaj interne revizije za 2024. godinu zadužuju se zaposleni u jedinicama za internu reviziju u javnom sektoru u Federaciji Bosne i Hercegovine da u Aplikaciju PIFC (Modul za internu reviziju) tokom 2025. godine nastave kontinuirano unositi podatke o planovima interne revizije i revizijskim angažmanima u skladu sa datim uputstvima CHJ FMF.</w:t>
            </w:r>
          </w:p>
          <w:p w14:paraId="5A7ABB71" w14:textId="3BE2AC91" w:rsidR="009506EB" w:rsidRPr="004F7E58" w:rsidRDefault="00617E5E" w:rsidP="0035310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Analiza dostavljenih godišnjih izvještaja i podataka o revidiranim područjima ukazuje da su i u 2024. godini vodeće revizije obavljene u području revizija poslovanja i to je povećan broj revizija za 5%, dok je došlo do pada obavljenih revizija javnih nabavki, planiranja i izvršenja budžeta/fin. plana i transfera. Približno isti broj revizija obavljen je u području izvještavanja (finansijske revizije koje se najčešće obavljaju u javnim preduzećima), a došlo je do porasta broja revizija u područjima koja se odnose na „ostalo“ (savjetodavni angažmani, revizije učinka, ad hoc revizije, odnosno revizije na zahtjev rukovodioca, revizije uspostave FUK, IT revizije i dr.)  Tome je doprinijelo i korištenje aplikacije PIFC, jer nakon što koordinatori za FUK unesu najznačajnije rizike u modul FUK, interna revizija ima mogućnost da u Modulu interne revizije u aplikaciji povuče kopiju registra rizika i iste inkorporira u svoje planove i time nastaviti revidiranje najrizičnijih procesa</w:t>
            </w:r>
          </w:p>
        </w:tc>
      </w:tr>
    </w:tbl>
    <w:p w14:paraId="04B4C584" w14:textId="77777777" w:rsidR="009506EB" w:rsidRPr="004F7E58" w:rsidRDefault="009506EB" w:rsidP="00736605">
      <w:pPr>
        <w:pStyle w:val="NormalPFM1"/>
        <w:rPr>
          <w:lang w:val="bs-Latn-BA"/>
        </w:rPr>
      </w:pPr>
    </w:p>
    <w:tbl>
      <w:tblPr>
        <w:tblStyle w:val="TableGrid"/>
        <w:tblW w:w="948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876"/>
        <w:gridCol w:w="3034"/>
      </w:tblGrid>
      <w:tr w:rsidR="009506EB" w:rsidRPr="004F7E58" w14:paraId="23CA8515" w14:textId="77777777" w:rsidTr="004F7E58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7CAD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B744" w14:textId="77777777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6AF2" w14:textId="099F239C" w:rsidR="009506EB" w:rsidRPr="004F7E58" w:rsidRDefault="009506EB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353101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542CD" w:rsidRPr="004F7E58" w14:paraId="1026509D" w14:textId="77777777" w:rsidTr="004F7E58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D34" w14:textId="77777777" w:rsidR="001542CD" w:rsidRPr="004F7E58" w:rsidRDefault="001542CD" w:rsidP="001542C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B87" w14:textId="4AB54F21" w:rsidR="001542CD" w:rsidRPr="004F7E58" w:rsidRDefault="001542CD" w:rsidP="001542C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V.2.5 Harmonizovani su  regulativa i prakse interne revizije u javnim preduzećima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791BA5" w14:textId="46D502C3" w:rsidR="001542CD" w:rsidRPr="004F7E58" w:rsidRDefault="00C5533C" w:rsidP="00EB3511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(ostvareno u 2023.)</w:t>
            </w:r>
          </w:p>
        </w:tc>
      </w:tr>
      <w:tr w:rsidR="004A2CFD" w:rsidRPr="004F7E58" w14:paraId="770D68FF" w14:textId="77777777" w:rsidTr="004F7E58">
        <w:trPr>
          <w:cantSplit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53B1" w14:textId="77777777" w:rsidR="004A2CFD" w:rsidRPr="004F7E58" w:rsidRDefault="004A2CFD" w:rsidP="004A2CF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56C" w14:textId="0CA59AB2" w:rsidR="004A2CFD" w:rsidRPr="004F7E58" w:rsidRDefault="004A2CFD" w:rsidP="004A2CFD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V.2.E  Interna revizija normirana u skladu sa metodološkim okvirom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F277057" w14:textId="136B12DA" w:rsidR="004A2CFD" w:rsidRPr="004F7E58" w:rsidRDefault="004A2CFD" w:rsidP="004A2CF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9506EB" w:rsidRPr="004F7E58" w14:paraId="7D239263" w14:textId="77777777" w:rsidTr="004F7E58">
        <w:trPr>
          <w:cantSplit/>
        </w:trPr>
        <w:tc>
          <w:tcPr>
            <w:tcW w:w="575" w:type="dxa"/>
            <w:tcBorders>
              <w:top w:val="single" w:sz="4" w:space="0" w:color="auto"/>
            </w:tcBorders>
          </w:tcPr>
          <w:p w14:paraId="5881F2D9" w14:textId="77777777" w:rsidR="009506EB" w:rsidRPr="004F7E58" w:rsidRDefault="009506EB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10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W w:w="94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75"/>
            </w:tblGrid>
            <w:tr w:rsidR="00617E5E" w:rsidRPr="004F7E58" w14:paraId="0779F4BA" w14:textId="77777777" w:rsidTr="004F7E58">
              <w:trPr>
                <w:cantSplit/>
              </w:trPr>
              <w:tc>
                <w:tcPr>
                  <w:tcW w:w="9475" w:type="dxa"/>
                </w:tcPr>
                <w:p w14:paraId="4039E103" w14:textId="2188CAC1" w:rsidR="00617E5E" w:rsidRPr="004F7E58" w:rsidRDefault="00617E5E" w:rsidP="00353101">
                  <w:pPr>
                    <w:pStyle w:val="NormalPFM1"/>
                    <w:keepNext/>
                    <w:rPr>
                      <w:noProof/>
                      <w:lang w:val="bs-Latn-BA"/>
                    </w:rPr>
                  </w:pPr>
                  <w:r w:rsidRPr="004F7E58">
                    <w:rPr>
                      <w:lang w:val="bs-Latn-BA"/>
                    </w:rPr>
                    <w:t>Aktivnost se smatra implementiranom obzirom da je Metodologija rada interne revizije objavljena u Službenim novinama Federacije BiH br. 20/23, a sadržajem i obrascima je prilagođena i za obavljanje interne revizije u javnim preduzećima. Održane su i edukacija na temu primjene Metodologije i korištenja aplikacije PIFC prema novoj Metodologiji ali je za potpuni rezultat odnosno primjenu u svim preduzećima neophodan nastavak praktične edukacije internih revizora, što je planirano u budućem periodu. Trenutno se radi na ažuriranju Metodologije u sakladu sa novim Globalnim standardima interne revizije.</w:t>
                  </w:r>
                </w:p>
              </w:tc>
            </w:tr>
          </w:tbl>
          <w:p w14:paraId="1D987740" w14:textId="423C4D6D" w:rsidR="009506EB" w:rsidRPr="004F7E58" w:rsidRDefault="009506EB" w:rsidP="00EB3511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3189E0A3" w14:textId="77777777" w:rsidR="009506EB" w:rsidRPr="004F7E58" w:rsidRDefault="009506EB" w:rsidP="00736605">
      <w:pPr>
        <w:pStyle w:val="NormalPFM1"/>
        <w:rPr>
          <w:lang w:val="bs-Latn-BA"/>
        </w:rPr>
      </w:pPr>
    </w:p>
    <w:p w14:paraId="62C23212" w14:textId="4305972A" w:rsidR="00736605" w:rsidRPr="004F7E58" w:rsidRDefault="00736605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sz w:val="24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 xml:space="preserve">MJERA: </w:t>
      </w:r>
      <w:r w:rsidR="00DD6650" w:rsidRPr="004F7E58">
        <w:rPr>
          <w:b/>
          <w:i w:val="0"/>
          <w:color w:val="C00000"/>
          <w:sz w:val="24"/>
          <w:lang w:val="bs-Latn-BA"/>
        </w:rPr>
        <w:t>V</w:t>
      </w:r>
      <w:r w:rsidRPr="004F7E58">
        <w:rPr>
          <w:b/>
          <w:i w:val="0"/>
          <w:color w:val="C00000"/>
          <w:sz w:val="24"/>
          <w:lang w:val="bs-Latn-BA"/>
        </w:rPr>
        <w:t>.3.</w:t>
      </w:r>
      <w:r w:rsidR="001542CD" w:rsidRPr="004F7E58">
        <w:rPr>
          <w:b/>
          <w:i w:val="0"/>
          <w:color w:val="C00000"/>
          <w:sz w:val="24"/>
          <w:lang w:val="bs-Latn-BA"/>
        </w:rPr>
        <w:t xml:space="preserve"> Unaprijediti praćenje efektivnosti sistema PIFC</w:t>
      </w:r>
    </w:p>
    <w:p w14:paraId="4F07D639" w14:textId="77777777" w:rsidR="00736605" w:rsidRPr="004F7E58" w:rsidRDefault="00736605" w:rsidP="00736605">
      <w:pPr>
        <w:rPr>
          <w:b/>
          <w:lang w:val="bs-Latn-BA"/>
        </w:rPr>
      </w:pPr>
    </w:p>
    <w:p w14:paraId="7AB221F2" w14:textId="630D7B37" w:rsidR="00736605" w:rsidRPr="004F7E58" w:rsidRDefault="00736605" w:rsidP="00736605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1840" w:rsidRPr="004F7E58" w14:paraId="7C0CB1D8" w14:textId="77777777" w:rsidTr="00DC7F97">
        <w:tc>
          <w:tcPr>
            <w:tcW w:w="9350" w:type="dxa"/>
          </w:tcPr>
          <w:p w14:paraId="7555EA5C" w14:textId="3068B7C4" w:rsidR="007F1840" w:rsidRPr="004F7E58" w:rsidRDefault="007F1840" w:rsidP="007F1840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t xml:space="preserve">U </w:t>
            </w:r>
            <w:proofErr w:type="spellStart"/>
            <w:r w:rsidRPr="004F7E58">
              <w:t>izvještajnom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periodu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okviru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završena</w:t>
            </w:r>
            <w:proofErr w:type="spellEnd"/>
            <w:r w:rsidRPr="004F7E58">
              <w:t xml:space="preserve"> je </w:t>
            </w:r>
            <w:proofErr w:type="spellStart"/>
            <w:r w:rsidRPr="004F7E58">
              <w:t>jedna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aktivnost</w:t>
            </w:r>
            <w:proofErr w:type="spellEnd"/>
            <w:r w:rsidRPr="004F7E58">
              <w:t xml:space="preserve">, a </w:t>
            </w:r>
            <w:proofErr w:type="spellStart"/>
            <w:r w:rsidRPr="004F7E58">
              <w:t>dvije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toku</w:t>
            </w:r>
            <w:proofErr w:type="spellEnd"/>
            <w:r w:rsidRPr="004F7E58">
              <w:t xml:space="preserve">.  </w:t>
            </w:r>
          </w:p>
        </w:tc>
      </w:tr>
      <w:tr w:rsidR="007F1840" w:rsidRPr="004F7E58" w14:paraId="0BFA230F" w14:textId="77777777" w:rsidTr="00DC7F97">
        <w:tc>
          <w:tcPr>
            <w:tcW w:w="9350" w:type="dxa"/>
          </w:tcPr>
          <w:p w14:paraId="0E0FB75D" w14:textId="2B3462D9" w:rsidR="007F1840" w:rsidRPr="004F7E58" w:rsidRDefault="007F1840" w:rsidP="007F1840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t xml:space="preserve">Tri </w:t>
            </w:r>
            <w:proofErr w:type="spellStart"/>
            <w:r w:rsidRPr="004F7E58">
              <w:t>rezultata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djelimično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postignuta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rokovima</w:t>
            </w:r>
            <w:proofErr w:type="spellEnd"/>
            <w:r w:rsidRPr="004F7E58">
              <w:t xml:space="preserve"> za </w:t>
            </w:r>
            <w:proofErr w:type="spellStart"/>
            <w:r w:rsidRPr="004F7E58">
              <w:t>potpunu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realizaciju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narednom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periodu</w:t>
            </w:r>
            <w:proofErr w:type="spellEnd"/>
            <w:r w:rsidRPr="004F7E58">
              <w:t xml:space="preserve">. </w:t>
            </w:r>
          </w:p>
        </w:tc>
      </w:tr>
    </w:tbl>
    <w:p w14:paraId="173CE698" w14:textId="16670121" w:rsidR="003B7C72" w:rsidRPr="004F7E58" w:rsidRDefault="003B7C72" w:rsidP="00736605">
      <w:pPr>
        <w:rPr>
          <w:b/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6"/>
        <w:gridCol w:w="2759"/>
      </w:tblGrid>
      <w:tr w:rsidR="00736605" w:rsidRPr="004F7E58" w14:paraId="7FCF4643" w14:textId="77777777" w:rsidTr="00FB063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B783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E964" w14:textId="0C8C1623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8223" w14:textId="26602434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C06EAD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C06EAD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1542CD" w:rsidRPr="004F7E58" w14:paraId="6910B20B" w14:textId="77777777" w:rsidTr="00C06EAD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7877" w14:textId="77777777" w:rsidR="001542CD" w:rsidRPr="004F7E58" w:rsidRDefault="001542CD" w:rsidP="001542C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5E72" w14:textId="57EDECBB" w:rsidR="001542CD" w:rsidRPr="004F7E58" w:rsidRDefault="001542CD" w:rsidP="001542C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V.3.1 Automatizacija izvještavanja o PIFC uz proširene izvore i alate za prikupljanje podataka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3E526DC" w14:textId="2E2B3A43" w:rsidR="001542CD" w:rsidRPr="004F7E58" w:rsidRDefault="00C5533C" w:rsidP="00DB2936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Završena u 2023.</w:t>
            </w:r>
          </w:p>
        </w:tc>
      </w:tr>
      <w:tr w:rsidR="00FB063F" w:rsidRPr="004F7E58" w14:paraId="0A5B77F0" w14:textId="77777777" w:rsidTr="00A0647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DF5" w14:textId="77777777" w:rsidR="00FB063F" w:rsidRPr="004F7E58" w:rsidRDefault="00FB063F" w:rsidP="00FB063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E14D" w14:textId="6FD2F24E" w:rsidR="00FB063F" w:rsidRPr="004F7E58" w:rsidRDefault="00FB063F" w:rsidP="00FB063F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V.3.A  Informatizovano godišnje i periodično  izvještavanje, brža obrada, kvantitativne i kvalitativne analize za donošenje odluka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6C623E2" w14:textId="2D147768" w:rsidR="00FB063F" w:rsidRPr="004F7E58" w:rsidRDefault="00FB063F" w:rsidP="00FB063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736605" w:rsidRPr="004F7E58" w14:paraId="107E6CC9" w14:textId="77777777" w:rsidTr="00FB063F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7214D5B3" w14:textId="77777777" w:rsidR="00736605" w:rsidRPr="004F7E58" w:rsidRDefault="00736605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7EB2D8A7" w14:textId="77777777" w:rsidR="007F1840" w:rsidRPr="004F7E58" w:rsidRDefault="007F1840" w:rsidP="007F184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Aplikacija PIFC instalirana i u upotrebi od 01.01.2022. godine, u periodu 2021-2023. održavane obuke za korištenje aplikacije, od marta 2023. uspostavljena je stalna tehnička podrška od CHJ, svim korisnicima - obveznicima proslijeđeni snimci i uputstvo za korištenje aplikacije, aktivno korištenje aplikacije od korisnika. CHJ prilikom konsolidacije izvještaja o stepenu razvoja FUK koristi u potpunosti podatke iz aplikacije.</w:t>
            </w:r>
          </w:p>
          <w:p w14:paraId="68A4AC9A" w14:textId="1CA258F1" w:rsidR="00736605" w:rsidRPr="004F7E58" w:rsidRDefault="007F1840" w:rsidP="00C5533C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U budućem periodu potrebna je nadogradnja aplikacije u cilju bolje praktične primjene, te nastavak praktičnih edukacija za koordinatore FUK i za interne revizore. Rezultat mjere je postignut u dijelu koji se odnosi na FUK, a djelimično u dijelu koji se odnosi na izvještavanje interne revizije (koji je kasnije krenuo sa testiranjem i primjenom).</w:t>
            </w:r>
          </w:p>
        </w:tc>
      </w:tr>
    </w:tbl>
    <w:p w14:paraId="5D201084" w14:textId="77DD0134" w:rsidR="00736605" w:rsidRPr="004F7E58" w:rsidRDefault="00736605" w:rsidP="00736605">
      <w:pPr>
        <w:rPr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6"/>
        <w:gridCol w:w="2759"/>
      </w:tblGrid>
      <w:tr w:rsidR="00221FC0" w:rsidRPr="004F7E58" w14:paraId="261AED0C" w14:textId="77777777" w:rsidTr="007F184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0F" w14:textId="77777777" w:rsidR="00221FC0" w:rsidRPr="004F7E58" w:rsidRDefault="00221FC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E5F" w14:textId="77777777" w:rsidR="00221FC0" w:rsidRPr="004F7E58" w:rsidRDefault="00221FC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411" w14:textId="06EF6ED9" w:rsidR="00221FC0" w:rsidRPr="004F7E58" w:rsidRDefault="00221FC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8638F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8638F2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F1840" w:rsidRPr="004F7E58" w14:paraId="4010778F" w14:textId="77777777" w:rsidTr="004F7E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C46" w14:textId="77777777" w:rsidR="007F1840" w:rsidRPr="004F7E58" w:rsidRDefault="007F1840" w:rsidP="007F184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E3E" w14:textId="747CC47B" w:rsidR="007F1840" w:rsidRPr="004F7E58" w:rsidRDefault="007F1840" w:rsidP="007F184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V.3.2 Razviti i implementirati okvir za provjeru kvalitete FUK i interne revizije od strane CHJ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0A3142" w14:textId="2DC3F5D1" w:rsidR="007F1840" w:rsidRPr="004F7E58" w:rsidRDefault="007F1840" w:rsidP="007F184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7F1840" w:rsidRPr="004F7E58" w14:paraId="48D7847F" w14:textId="77777777" w:rsidTr="007F184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86D5" w14:textId="77777777" w:rsidR="007F1840" w:rsidRPr="004F7E58" w:rsidRDefault="007F1840" w:rsidP="007F184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A12" w14:textId="3197C93A" w:rsidR="007F1840" w:rsidRPr="004F7E58" w:rsidRDefault="007F1840" w:rsidP="007F184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V.3.B    Sistem PIFC je predmet redovnog stručnog praćenja po metodologijama usklađenim sa dobrom međunarodnom praksom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999B592" w14:textId="694E1014" w:rsidR="007F1840" w:rsidRPr="004F7E58" w:rsidRDefault="007F1840" w:rsidP="007F184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7F1840" w:rsidRPr="004F7E58" w14:paraId="49F8B7E6" w14:textId="77777777" w:rsidTr="007F184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F02C98A" w14:textId="77777777" w:rsidR="007F1840" w:rsidRPr="004F7E58" w:rsidRDefault="007F1840" w:rsidP="007F184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57B0931" w14:textId="77777777" w:rsidR="007F1840" w:rsidRPr="004F7E58" w:rsidRDefault="007F1840" w:rsidP="007F184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U 2024. godini objavljen je Pravilnik o izmjenama i dopunama Pravilnika o provođenju finansijskog upravljanja i kontrole u javnom sektoru u Federaciji BiH („Službene novine Federacije BiH“, broj 37/24), u kojima su između ostalog razrađene odredbe u vezi ocjene adekvatnosti i efektivnosti sistema FUK, odnosno provjere kvalitete FUK. Tako je propisano da se povremena provjera kvalitete provodi se na uzorku korisnika javnih sredstava neposrednim uvidom u evidencije i dokumentaciju, razgovorom sa zaposlenima i/ili popunjavanjem odgovarajućeg upitnika, nakon čega CHJ sačinjava izvještaj za rukovodioca korisnika javnih sredstava.  U 2024. izrađen je i upitnik za ocjenu adekvatnosti i efektivnosti sistema FUK koji je uspješno pilotiran kod korisnika.</w:t>
            </w:r>
          </w:p>
          <w:p w14:paraId="1C1C8421" w14:textId="380EE348" w:rsidR="007F1840" w:rsidRPr="004F7E58" w:rsidRDefault="00237ECB" w:rsidP="007F1840">
            <w:pPr>
              <w:pStyle w:val="NormalPFM1"/>
              <w:keepNext/>
              <w:rPr>
                <w:lang w:val="bs-Latn-BA"/>
              </w:rPr>
            </w:pPr>
            <w:r>
              <w:rPr>
                <w:lang w:val="bs-Latn-BA"/>
              </w:rPr>
              <w:t xml:space="preserve">Izvještajni period </w:t>
            </w:r>
            <w:r w:rsidR="007F1840" w:rsidRPr="004F7E58">
              <w:rPr>
                <w:lang w:val="bs-Latn-BA"/>
              </w:rPr>
              <w:t>2024. godin</w:t>
            </w:r>
            <w:r>
              <w:rPr>
                <w:lang w:val="bs-Latn-BA"/>
              </w:rPr>
              <w:t>e,</w:t>
            </w:r>
            <w:r w:rsidR="007F1840" w:rsidRPr="004F7E58">
              <w:rPr>
                <w:lang w:val="bs-Latn-BA"/>
              </w:rPr>
              <w:t xml:space="preserve"> obilježilo je i provođenje prve provjere kvalitete FUK korisnika od CHJ. Postupak provjere kvalitete proveden je kao pilot aktivnost u periodu 18.11.-30.12.2024. godine u Zavodu zdravstvenog osiguranja Hercegovačko-neretvanske županije-kantona, koji je prethodno iskazao zainteresiranost za učešće u navedenoj aktivnosti u cilju procjene kvalitete vlastitog sistema FUK. Postupak provjere kvalitete rezultirao je izvještajem koji je CHJ sačinila za rukovodstvo, sa pratećim preporukama, a proaktivan pristup i blagovremene povratne informacije od rukovodstva i zaposlenih Zavoda doprinijeli su kvaliteti provedenog postupka i potvrdile adekvatnost provedenih aktivnosti i korištenog CHJ upitnika.</w:t>
            </w:r>
          </w:p>
          <w:p w14:paraId="3CE57650" w14:textId="78D41E45" w:rsidR="007F1840" w:rsidRPr="004F7E58" w:rsidRDefault="007F1840" w:rsidP="007F1840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U 2024. godini izrađena je Metodologija za provođenje osiguranja i unapređenja kvaliteta interne revizije u organizacijama javnog sektora u Federaciji BiH, a ista je objavljena u „Službenim novinama Federacije BiH“, broj: 21/25. Metodologija osigurava da je koncept kvaliteta ugrađen u sve aspekte aktivnosti interne revizije i omogućava procjenu usaglašenosti aktivnosti interne revizije u organizacijama javnog sektora Federacije BiH sa: Zakonom o IR, međunarodnim standardima interne revizije, propisanom metodologijom rada interne revizije i drugim propisima kojima se uređuje oblast interne revizije, kao i procjenu efikasnosti i efektivnosti aktivnosti interne revizije, te identifikovanja mogućnosti za unapređenje kvaliteta interne revizije. Planirana je pilot aktivnost provjere kvalitete IR u 4. kvartalu 2025.</w:t>
            </w:r>
          </w:p>
        </w:tc>
      </w:tr>
    </w:tbl>
    <w:p w14:paraId="08736A31" w14:textId="77777777" w:rsidR="00221FC0" w:rsidRPr="004F7E58" w:rsidRDefault="00221FC0" w:rsidP="00736605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736605" w:rsidRPr="004F7E58" w14:paraId="37ABF458" w14:textId="77777777" w:rsidTr="00221FC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C51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CA4" w14:textId="4E2FF1E6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318D" w14:textId="37C0236C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 xml:space="preserve"> / Ostvarenje u 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21FC0" w:rsidRPr="004F7E58" w14:paraId="0EFAE73F" w14:textId="77777777" w:rsidTr="00221FC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334" w14:textId="77777777" w:rsidR="00221FC0" w:rsidRPr="004F7E58" w:rsidRDefault="00221FC0" w:rsidP="00221FC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A690" w14:textId="7229588F" w:rsidR="00221FC0" w:rsidRPr="004F7E58" w:rsidRDefault="00221FC0" w:rsidP="00221FC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V.3.3 Ojačan analitički i koordinacioni kapacitet CHJ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BE9F87" w14:textId="72162B38" w:rsidR="00221FC0" w:rsidRPr="004F7E58" w:rsidRDefault="00221FC0" w:rsidP="001F433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736605" w:rsidRPr="004F7E58" w14:paraId="3406F2DA" w14:textId="77777777" w:rsidTr="00221FC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1043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B2E8" w14:textId="29F15838" w:rsidR="00736605" w:rsidRPr="004F7E58" w:rsidRDefault="00221FC0" w:rsidP="007366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V.3.C   Kvalitetnije informacije za usmjeravanje i prioritetizaciju daljeg razvoja PIFC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1E3C95" w14:textId="21EB110F" w:rsidR="00736605" w:rsidRPr="004F7E58" w:rsidRDefault="00221FC0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736605" w:rsidRPr="004F7E58" w14:paraId="2800AB7D" w14:textId="77777777" w:rsidTr="00221FC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099F5D0E" w14:textId="77777777" w:rsidR="00736605" w:rsidRPr="004F7E58" w:rsidRDefault="00736605" w:rsidP="00736605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DE93E1C" w14:textId="112CDFD0" w:rsidR="00736605" w:rsidRPr="004F7E58" w:rsidRDefault="007F1840" w:rsidP="00061787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Postoji kontinuitet u obukama i saradnji sa obveznicima uspostave sistema PIFC, sastanci KO CHJ se redovno održavaju, potrebno je saradnju proširi i formalizovati sa drugim zainteresiranim stranama.</w:t>
            </w:r>
          </w:p>
        </w:tc>
      </w:tr>
    </w:tbl>
    <w:p w14:paraId="3CBFA2DE" w14:textId="37B41739" w:rsidR="00736605" w:rsidRPr="004F7E58" w:rsidRDefault="00736605" w:rsidP="00736605">
      <w:pPr>
        <w:pStyle w:val="NormalPFM1"/>
        <w:rPr>
          <w:lang w:val="bs-Latn-BA"/>
        </w:rPr>
      </w:pPr>
    </w:p>
    <w:p w14:paraId="1ED7EAEE" w14:textId="06B7CED4" w:rsidR="00736605" w:rsidRPr="004F7E58" w:rsidRDefault="00736605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</w:rPr>
      </w:pPr>
      <w:proofErr w:type="spellStart"/>
      <w:r w:rsidRPr="004F7E58">
        <w:rPr>
          <w:b/>
          <w:i w:val="0"/>
          <w:color w:val="C00000"/>
        </w:rPr>
        <w:t>MJERA</w:t>
      </w:r>
      <w:proofErr w:type="spellEnd"/>
      <w:r w:rsidRPr="004F7E58">
        <w:rPr>
          <w:b/>
          <w:i w:val="0"/>
          <w:color w:val="C00000"/>
        </w:rPr>
        <w:t xml:space="preserve">: </w:t>
      </w:r>
      <w:r w:rsidR="00DD6650" w:rsidRPr="004F7E58">
        <w:rPr>
          <w:b/>
          <w:i w:val="0"/>
          <w:color w:val="C00000"/>
        </w:rPr>
        <w:t>V</w:t>
      </w:r>
      <w:r w:rsidRPr="004F7E58">
        <w:rPr>
          <w:b/>
          <w:i w:val="0"/>
          <w:color w:val="C00000"/>
        </w:rPr>
        <w:t xml:space="preserve">.4. </w:t>
      </w:r>
      <w:proofErr w:type="spellStart"/>
      <w:r w:rsidR="00E65F07" w:rsidRPr="004F7E58">
        <w:rPr>
          <w:b/>
          <w:i w:val="0"/>
          <w:color w:val="C00000"/>
          <w:sz w:val="24"/>
        </w:rPr>
        <w:t>Unaprijediti</w:t>
      </w:r>
      <w:proofErr w:type="spellEnd"/>
      <w:r w:rsidR="00E65F07" w:rsidRPr="004F7E58">
        <w:rPr>
          <w:b/>
          <w:i w:val="0"/>
          <w:color w:val="C00000"/>
          <w:sz w:val="24"/>
        </w:rPr>
        <w:t xml:space="preserve"> rad </w:t>
      </w:r>
      <w:proofErr w:type="spellStart"/>
      <w:r w:rsidR="00E65F07" w:rsidRPr="004F7E58">
        <w:rPr>
          <w:b/>
          <w:i w:val="0"/>
          <w:color w:val="C00000"/>
          <w:sz w:val="24"/>
        </w:rPr>
        <w:t>budžetske</w:t>
      </w:r>
      <w:proofErr w:type="spellEnd"/>
      <w:r w:rsidR="00E65F07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E65F07" w:rsidRPr="004F7E58">
        <w:rPr>
          <w:b/>
          <w:i w:val="0"/>
          <w:color w:val="C00000"/>
          <w:sz w:val="24"/>
        </w:rPr>
        <w:t>inspekcije</w:t>
      </w:r>
      <w:proofErr w:type="spellEnd"/>
    </w:p>
    <w:p w14:paraId="5C5C5C7D" w14:textId="77777777" w:rsidR="00736605" w:rsidRPr="004F7E58" w:rsidRDefault="00736605" w:rsidP="00736605">
      <w:pPr>
        <w:rPr>
          <w:b/>
        </w:rPr>
      </w:pPr>
    </w:p>
    <w:p w14:paraId="5E5511CF" w14:textId="25F000BE" w:rsidR="00736605" w:rsidRPr="004F7E58" w:rsidRDefault="00736605" w:rsidP="00736605">
      <w:pPr>
        <w:rPr>
          <w:b/>
        </w:rPr>
      </w:pPr>
      <w:proofErr w:type="spellStart"/>
      <w:r w:rsidRPr="004F7E58">
        <w:rPr>
          <w:b/>
        </w:rPr>
        <w:lastRenderedPageBreak/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254F" w:rsidRPr="004F7E58" w14:paraId="35CDCBD7" w14:textId="77777777" w:rsidTr="00DC7F97">
        <w:tc>
          <w:tcPr>
            <w:tcW w:w="9350" w:type="dxa"/>
          </w:tcPr>
          <w:p w14:paraId="1A0B1267" w14:textId="6FB9EE17" w:rsidR="0087254F" w:rsidRPr="004F7E58" w:rsidRDefault="0087254F" w:rsidP="00EC58FE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</w:t>
            </w:r>
            <w:r w:rsidR="000D77AA" w:rsidRPr="004F7E58">
              <w:rPr>
                <w:noProof/>
                <w:lang w:val="bs-Latn-BA"/>
              </w:rPr>
              <w:t>su</w:t>
            </w:r>
            <w:r w:rsidR="00811469" w:rsidRPr="004F7E58">
              <w:rPr>
                <w:noProof/>
                <w:lang w:val="bs-Latn-BA"/>
              </w:rPr>
              <w:t xml:space="preserve"> započet</w:t>
            </w:r>
            <w:r w:rsidR="000D77AA" w:rsidRPr="004F7E58">
              <w:rPr>
                <w:noProof/>
                <w:lang w:val="bs-Latn-BA"/>
              </w:rPr>
              <w:t>e dvije aktivnosti. Jedna</w:t>
            </w:r>
            <w:r w:rsidR="0097750D" w:rsidRPr="004F7E58">
              <w:rPr>
                <w:noProof/>
                <w:lang w:val="bs-Latn-BA"/>
              </w:rPr>
              <w:t xml:space="preserve"> aktivnost ni</w:t>
            </w:r>
            <w:r w:rsidR="000D77AA" w:rsidRPr="004F7E58">
              <w:rPr>
                <w:noProof/>
                <w:lang w:val="bs-Latn-BA"/>
              </w:rPr>
              <w:t>je</w:t>
            </w:r>
            <w:r w:rsidR="0097750D" w:rsidRPr="004F7E58">
              <w:rPr>
                <w:noProof/>
                <w:lang w:val="bs-Latn-BA"/>
              </w:rPr>
              <w:t xml:space="preserve"> bil</w:t>
            </w:r>
            <w:r w:rsidR="000D77AA" w:rsidRPr="004F7E58">
              <w:rPr>
                <w:noProof/>
                <w:lang w:val="bs-Latn-BA"/>
              </w:rPr>
              <w:t xml:space="preserve">a </w:t>
            </w:r>
            <w:r w:rsidR="0097750D" w:rsidRPr="004F7E58">
              <w:rPr>
                <w:noProof/>
                <w:lang w:val="bs-Latn-BA"/>
              </w:rPr>
              <w:t>planiran</w:t>
            </w:r>
            <w:r w:rsidR="000D77AA" w:rsidRPr="004F7E58">
              <w:rPr>
                <w:noProof/>
                <w:lang w:val="bs-Latn-BA"/>
              </w:rPr>
              <w:t>a</w:t>
            </w:r>
            <w:r w:rsidR="0097750D" w:rsidRPr="004F7E58">
              <w:rPr>
                <w:noProof/>
                <w:lang w:val="bs-Latn-BA"/>
              </w:rPr>
              <w:t xml:space="preserve"> za implementaciju</w:t>
            </w:r>
          </w:p>
        </w:tc>
      </w:tr>
      <w:tr w:rsidR="0087254F" w:rsidRPr="004F7E58" w14:paraId="4C6A3285" w14:textId="77777777" w:rsidTr="00DC7F97">
        <w:tc>
          <w:tcPr>
            <w:tcW w:w="9350" w:type="dxa"/>
          </w:tcPr>
          <w:p w14:paraId="3311C974" w14:textId="553398BA" w:rsidR="0087254F" w:rsidRPr="004F7E58" w:rsidRDefault="000D77AA" w:rsidP="0016281D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Dva</w:t>
            </w:r>
            <w:r w:rsidR="0097750D" w:rsidRPr="004F7E58">
              <w:rPr>
                <w:noProof/>
                <w:lang w:val="bs-Latn-BA"/>
              </w:rPr>
              <w:t xml:space="preserve"> </w:t>
            </w:r>
            <w:r w:rsidR="00EA2D1B" w:rsidRPr="004F7E58">
              <w:rPr>
                <w:noProof/>
                <w:lang w:val="bs-Latn-BA"/>
              </w:rPr>
              <w:t>r</w:t>
            </w:r>
            <w:r w:rsidR="0087254F" w:rsidRPr="004F7E58">
              <w:rPr>
                <w:noProof/>
                <w:lang w:val="bs-Latn-BA"/>
              </w:rPr>
              <w:t xml:space="preserve">ezultata mjere </w:t>
            </w:r>
            <w:r w:rsidRPr="004F7E58">
              <w:rPr>
                <w:noProof/>
                <w:lang w:val="bs-Latn-BA"/>
              </w:rPr>
              <w:t xml:space="preserve">su djelimično postignuta, a za treću rok </w:t>
            </w:r>
            <w:r w:rsidR="0087254F" w:rsidRPr="004F7E58">
              <w:rPr>
                <w:noProof/>
                <w:lang w:val="bs-Latn-BA"/>
              </w:rPr>
              <w:t>nije istekao</w:t>
            </w:r>
            <w:r w:rsidR="00061787" w:rsidRPr="004F7E58">
              <w:rPr>
                <w:noProof/>
                <w:lang w:val="bs-Latn-BA"/>
              </w:rPr>
              <w:t>.</w:t>
            </w:r>
          </w:p>
        </w:tc>
      </w:tr>
    </w:tbl>
    <w:p w14:paraId="4653DB26" w14:textId="77777777" w:rsidR="0087254F" w:rsidRPr="004F7E58" w:rsidRDefault="0087254F" w:rsidP="00736605">
      <w:pPr>
        <w:rPr>
          <w:b/>
          <w:lang w:val="bs-Latn-BA"/>
        </w:rPr>
      </w:pPr>
    </w:p>
    <w:tbl>
      <w:tblPr>
        <w:tblStyle w:val="TableGrid"/>
        <w:tblW w:w="9475" w:type="dxa"/>
        <w:tblInd w:w="-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6181"/>
        <w:gridCol w:w="2779"/>
      </w:tblGrid>
      <w:tr w:rsidR="00736605" w:rsidRPr="004F7E58" w14:paraId="474426DE" w14:textId="77777777" w:rsidTr="00664F16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144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1179" w14:textId="1990129B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2BA4" w14:textId="03B8931E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36605" w:rsidRPr="004F7E58" w14:paraId="1E8A7863" w14:textId="77777777" w:rsidTr="000D77AA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E8E5" w14:textId="77777777" w:rsidR="00736605" w:rsidRPr="004F7E58" w:rsidRDefault="00736605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4F49" w14:textId="46F0B73B" w:rsidR="00736605" w:rsidRPr="004F7E58" w:rsidRDefault="00E65F07" w:rsidP="007366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V.4.1 Jačanje kapaciteta budžetske inspekcije FBIH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A0A945" w14:textId="668FA0D4" w:rsidR="00736605" w:rsidRPr="004F7E58" w:rsidRDefault="005A3476" w:rsidP="00F8565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toku</w:t>
            </w:r>
          </w:p>
        </w:tc>
      </w:tr>
      <w:tr w:rsidR="000D77AA" w:rsidRPr="004F7E58" w14:paraId="0F3D91B9" w14:textId="77777777" w:rsidTr="000D77AA">
        <w:trPr>
          <w:cantSplit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9E8" w14:textId="77777777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F1C" w14:textId="5B6D4953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V.4.A Povećan kapacitet budžetske inspekcije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C3F93F" w14:textId="0E4700BC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0D77AA" w:rsidRPr="004F7E58" w14:paraId="377A93A5" w14:textId="77777777" w:rsidTr="00664F16">
        <w:trPr>
          <w:cantSplit/>
        </w:trPr>
        <w:tc>
          <w:tcPr>
            <w:tcW w:w="515" w:type="dxa"/>
            <w:tcBorders>
              <w:top w:val="single" w:sz="4" w:space="0" w:color="auto"/>
            </w:tcBorders>
          </w:tcPr>
          <w:p w14:paraId="480C23A6" w14:textId="77777777" w:rsidR="000D77AA" w:rsidRPr="004F7E58" w:rsidRDefault="000D77AA" w:rsidP="000D77AA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0" w:type="dxa"/>
            <w:gridSpan w:val="2"/>
            <w:tcBorders>
              <w:top w:val="single" w:sz="4" w:space="0" w:color="auto"/>
            </w:tcBorders>
          </w:tcPr>
          <w:p w14:paraId="485D1EFC" w14:textId="6AF5B354" w:rsidR="000D77AA" w:rsidRPr="004F7E58" w:rsidRDefault="000D77AA" w:rsidP="000D77AA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Počelo je zapošljavanje u budžetskoj inspekciji. Zaposlena su dva nova uposlenika </w:t>
            </w:r>
            <w:r w:rsidR="001B12DB" w:rsidRPr="004F7E58">
              <w:rPr>
                <w:lang w:val="bs-Latn-BA"/>
              </w:rPr>
              <w:t xml:space="preserve">dok je </w:t>
            </w:r>
            <w:r w:rsidRPr="004F7E58">
              <w:rPr>
                <w:lang w:val="bs-Latn-BA"/>
              </w:rPr>
              <w:t>jedan otišao. U 2023. inspekcija ima četiri uposlenika</w:t>
            </w:r>
            <w:r w:rsidR="001B12DB" w:rsidRPr="004F7E58">
              <w:rPr>
                <w:lang w:val="bs-Latn-BA"/>
              </w:rPr>
              <w:t xml:space="preserve">, </w:t>
            </w:r>
            <w:r w:rsidRPr="004F7E58">
              <w:rPr>
                <w:lang w:val="bs-Latn-BA"/>
              </w:rPr>
              <w:t xml:space="preserve">a puni kapacitet po sistematizaciji je šest. Planira se dalje zapošljavanje u narednom periodu.  </w:t>
            </w:r>
          </w:p>
        </w:tc>
      </w:tr>
    </w:tbl>
    <w:p w14:paraId="747F0292" w14:textId="77777777" w:rsidR="00736605" w:rsidRPr="004F7E58" w:rsidRDefault="00736605" w:rsidP="00736605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785B90" w:rsidRPr="004F7E58" w14:paraId="4B9D80D7" w14:textId="77777777" w:rsidTr="000D77A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8FB" w14:textId="77777777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8EC" w14:textId="77777777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F101" w14:textId="646D4C83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0D77AA" w:rsidRPr="004F7E58" w14:paraId="1A99B245" w14:textId="77777777" w:rsidTr="000D77A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AE6" w14:textId="77777777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EBE" w14:textId="5EAED867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V.4.2 Uspostava budžetskih inspekcija u kantonima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83DEC29" w14:textId="558E06D3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U toku</w:t>
            </w:r>
          </w:p>
        </w:tc>
      </w:tr>
      <w:tr w:rsidR="000D77AA" w:rsidRPr="004F7E58" w14:paraId="1A78557D" w14:textId="77777777" w:rsidTr="000D77A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E96" w14:textId="77777777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8D8" w14:textId="6B300ACE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V.4.B Kantonalne budžetske inspekcije su uspostavljene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555A5C" w14:textId="13E88E62" w:rsidR="000D77AA" w:rsidRPr="004F7E58" w:rsidRDefault="000D77AA" w:rsidP="000D77AA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785B90" w:rsidRPr="004F7E58" w14:paraId="51412E84" w14:textId="77777777" w:rsidTr="000D77AA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15745CA0" w14:textId="77777777" w:rsidR="00785B90" w:rsidRPr="004F7E58" w:rsidRDefault="00785B9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2C123327" w14:textId="76BA651A" w:rsidR="00785B90" w:rsidRPr="004F7E58" w:rsidRDefault="00785B90" w:rsidP="0097750D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</w:t>
            </w:r>
            <w:r w:rsidR="005327E5" w:rsidRPr="004F7E58">
              <w:rPr>
                <w:noProof/>
                <w:lang w:val="bs-Latn-BA"/>
              </w:rPr>
              <w:t xml:space="preserve">Svi </w:t>
            </w:r>
            <w:r w:rsidR="00060819" w:rsidRPr="004F7E58">
              <w:rPr>
                <w:noProof/>
                <w:lang w:val="bs-Latn-BA"/>
              </w:rPr>
              <w:t xml:space="preserve">kantoni </w:t>
            </w:r>
            <w:r w:rsidR="005327E5" w:rsidRPr="004F7E58">
              <w:rPr>
                <w:noProof/>
                <w:lang w:val="bs-Latn-BA"/>
              </w:rPr>
              <w:t xml:space="preserve">su sistematizovali budžetsku inspekciju. U 8 kantona je </w:t>
            </w:r>
            <w:r w:rsidR="00060819" w:rsidRPr="004F7E58">
              <w:rPr>
                <w:noProof/>
                <w:lang w:val="bs-Latn-BA"/>
              </w:rPr>
              <w:t xml:space="preserve">budžetska inspekcija </w:t>
            </w:r>
            <w:r w:rsidR="005327E5" w:rsidRPr="004F7E58">
              <w:rPr>
                <w:noProof/>
                <w:lang w:val="bs-Latn-BA"/>
              </w:rPr>
              <w:t xml:space="preserve">uspostavljena, </w:t>
            </w:r>
            <w:r w:rsidR="00060819" w:rsidRPr="004F7E58">
              <w:rPr>
                <w:noProof/>
                <w:lang w:val="bs-Latn-BA"/>
              </w:rPr>
              <w:t xml:space="preserve">dok dva kantona provode </w:t>
            </w:r>
            <w:r w:rsidR="005327E5" w:rsidRPr="004F7E58">
              <w:rPr>
                <w:noProof/>
                <w:lang w:val="bs-Latn-BA"/>
              </w:rPr>
              <w:t>postup</w:t>
            </w:r>
            <w:r w:rsidR="00060819" w:rsidRPr="004F7E58">
              <w:rPr>
                <w:noProof/>
                <w:lang w:val="bs-Latn-BA"/>
              </w:rPr>
              <w:t xml:space="preserve">ak zapošljavanja. </w:t>
            </w:r>
            <w:r w:rsidR="005327E5" w:rsidRPr="004F7E58">
              <w:rPr>
                <w:noProof/>
                <w:lang w:val="bs-Latn-BA"/>
              </w:rPr>
              <w:t xml:space="preserve"> </w:t>
            </w:r>
          </w:p>
        </w:tc>
      </w:tr>
    </w:tbl>
    <w:p w14:paraId="4D0EA30E" w14:textId="77777777" w:rsidR="0087254F" w:rsidRPr="004F7E58" w:rsidRDefault="0087254F">
      <w:pPr>
        <w:rPr>
          <w:noProof/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2"/>
        <w:gridCol w:w="2763"/>
      </w:tblGrid>
      <w:tr w:rsidR="00785B90" w:rsidRPr="004F7E58" w14:paraId="703EEAEC" w14:textId="77777777" w:rsidTr="00785B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4747" w14:textId="77777777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8DA" w14:textId="77777777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48FE" w14:textId="17EB302E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061787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85B90" w:rsidRPr="004F7E58" w14:paraId="11EA2F48" w14:textId="77777777" w:rsidTr="00A0647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57D8" w14:textId="77777777" w:rsidR="00785B90" w:rsidRPr="004F7E58" w:rsidRDefault="00785B90" w:rsidP="00785B9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9E7" w14:textId="2A87BCFA" w:rsidR="00785B90" w:rsidRPr="004F7E58" w:rsidRDefault="00785B90" w:rsidP="00785B9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V.4.3 Usklađivanje Zakona o krivičnim postupcima i ovlaštavanje budžetske inpekcije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143FD" w14:textId="162DF057" w:rsidR="00785B90" w:rsidRPr="004F7E58" w:rsidRDefault="00785B90" w:rsidP="0097750D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Nije započeta (nije ni predviđeno u </w:t>
            </w:r>
            <w:r w:rsidR="0097750D" w:rsidRPr="004F7E58">
              <w:rPr>
                <w:noProof/>
                <w:lang w:val="bs-Latn-BA"/>
              </w:rPr>
              <w:t>202</w:t>
            </w:r>
            <w:r w:rsidR="00061787" w:rsidRPr="004F7E58">
              <w:rPr>
                <w:noProof/>
                <w:lang w:val="bs-Latn-BA"/>
              </w:rPr>
              <w:t>4</w:t>
            </w:r>
            <w:r w:rsidR="00F6124A" w:rsidRPr="004F7E58">
              <w:rPr>
                <w:noProof/>
                <w:lang w:val="bs-Latn-BA"/>
              </w:rPr>
              <w:t>.</w:t>
            </w:r>
            <w:r w:rsidRPr="004F7E58">
              <w:rPr>
                <w:noProof/>
                <w:lang w:val="bs-Latn-BA"/>
              </w:rPr>
              <w:t>)</w:t>
            </w:r>
          </w:p>
        </w:tc>
      </w:tr>
      <w:tr w:rsidR="00785B90" w:rsidRPr="004F7E58" w14:paraId="415DE8B4" w14:textId="77777777" w:rsidTr="00785B9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5FC" w14:textId="77777777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A3AA" w14:textId="710375C7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V.4.C Budžetska inspekcija ima potrebne ovlasti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398E9" w14:textId="77777777" w:rsidR="00785B90" w:rsidRPr="004F7E58" w:rsidRDefault="00785B90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785B90" w:rsidRPr="004F7E58" w14:paraId="0DC5547F" w14:textId="77777777" w:rsidTr="00785B9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AB514DC" w14:textId="77777777" w:rsidR="00785B90" w:rsidRPr="004F7E58" w:rsidRDefault="00785B90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FEE231A" w14:textId="231A0581" w:rsidR="00785B90" w:rsidRPr="004F7E58" w:rsidRDefault="00785B90" w:rsidP="0097750D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</w:tbl>
    <w:p w14:paraId="4BD956E4" w14:textId="77A2182A" w:rsidR="00785B90" w:rsidRPr="004F7E58" w:rsidRDefault="00785B90">
      <w:pPr>
        <w:rPr>
          <w:noProof/>
        </w:rPr>
      </w:pPr>
      <w:r w:rsidRPr="004F7E58">
        <w:rPr>
          <w:noProof/>
        </w:rPr>
        <w:br w:type="page"/>
      </w:r>
    </w:p>
    <w:p w14:paraId="7720BE5C" w14:textId="0F203D14" w:rsidR="00DD6650" w:rsidRPr="004F7E58" w:rsidRDefault="00DD6650" w:rsidP="002E60F0">
      <w:pPr>
        <w:pStyle w:val="Heading2"/>
        <w:numPr>
          <w:ilvl w:val="1"/>
          <w:numId w:val="31"/>
        </w:numPr>
        <w:ind w:left="0" w:firstLine="0"/>
        <w:rPr>
          <w:b/>
          <w:noProof/>
          <w:color w:val="C00000"/>
          <w:sz w:val="32"/>
          <w:lang w:val="bs-Latn-BA"/>
        </w:rPr>
      </w:pPr>
      <w:bookmarkStart w:id="34" w:name="_Toc214450239"/>
      <w:r w:rsidRPr="004F7E58">
        <w:rPr>
          <w:b/>
          <w:noProof/>
          <w:color w:val="C00000"/>
          <w:sz w:val="32"/>
          <w:lang w:val="bs-Latn-BA"/>
        </w:rPr>
        <w:lastRenderedPageBreak/>
        <w:t xml:space="preserve">Stub VI: </w:t>
      </w:r>
      <w:r w:rsidR="005C04DB" w:rsidRPr="004F7E58">
        <w:rPr>
          <w:b/>
          <w:noProof/>
          <w:color w:val="C00000"/>
          <w:sz w:val="32"/>
          <w:lang w:val="bs-Latn-BA"/>
        </w:rPr>
        <w:t>EKSTERNA REVIZIJA</w:t>
      </w:r>
      <w:bookmarkEnd w:id="34"/>
    </w:p>
    <w:p w14:paraId="1CFE6834" w14:textId="77777777" w:rsidR="00185F2D" w:rsidRPr="004F7E58" w:rsidRDefault="00185F2D" w:rsidP="00185F2D">
      <w:pPr>
        <w:rPr>
          <w:lang w:val="bs-Latn-BA"/>
        </w:rPr>
      </w:pPr>
    </w:p>
    <w:p w14:paraId="66F049F6" w14:textId="77777777" w:rsidR="00185F2D" w:rsidRPr="004F7E58" w:rsidRDefault="00185F2D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35" w:name="_Toc214450240"/>
      <w:r w:rsidRPr="004F7E58">
        <w:rPr>
          <w:b/>
          <w:color w:val="C00000"/>
          <w:lang w:val="bs-Latn-BA"/>
        </w:rPr>
        <w:t>Cilj stuba</w:t>
      </w:r>
      <w:bookmarkEnd w:id="35"/>
    </w:p>
    <w:p w14:paraId="2B524F9D" w14:textId="77777777" w:rsidR="00185F2D" w:rsidRPr="004F7E58" w:rsidRDefault="00185F2D" w:rsidP="00185F2D">
      <w:pPr>
        <w:rPr>
          <w:lang w:val="bs-Latn-BA"/>
        </w:rPr>
      </w:pPr>
    </w:p>
    <w:p w14:paraId="3E33C582" w14:textId="7B874D0B" w:rsidR="00DD6650" w:rsidRPr="004F7E58" w:rsidRDefault="00F16EA9" w:rsidP="00DD6650">
      <w:pPr>
        <w:pStyle w:val="NormalPFM1"/>
        <w:rPr>
          <w:lang w:val="bs-Latn-BA"/>
        </w:rPr>
      </w:pPr>
      <w:r w:rsidRPr="004F7E58">
        <w:rPr>
          <w:lang w:val="bs-Latn-BA"/>
        </w:rPr>
        <w:t xml:space="preserve">Osiguranje nezavisnog eksternog nadzora nad javnim finansijama u skladu sa INTOSAI Okvirom profesionalnih objava, s ciljem transparentnijeg i efikasnijeg korištenja javnih sredstava.  </w:t>
      </w:r>
    </w:p>
    <w:p w14:paraId="10A3977C" w14:textId="77777777" w:rsidR="00F16EA9" w:rsidRPr="004F7E58" w:rsidRDefault="00F16EA9" w:rsidP="00DD6650">
      <w:pPr>
        <w:pStyle w:val="NormalPFM1"/>
        <w:rPr>
          <w:noProof/>
          <w:lang w:val="bs-Latn-BA"/>
        </w:rPr>
      </w:pPr>
    </w:p>
    <w:p w14:paraId="632CF041" w14:textId="41CA9B22" w:rsidR="00DD6650" w:rsidRPr="004F7E58" w:rsidRDefault="00DD6650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36" w:name="_Toc214450241"/>
      <w:r w:rsidRPr="004F7E58">
        <w:rPr>
          <w:b/>
          <w:color w:val="C00000"/>
          <w:lang w:val="bs-Latn-BA"/>
        </w:rPr>
        <w:t xml:space="preserve">Ostvarenje rezultata stupa u </w:t>
      </w:r>
      <w:r w:rsidR="005A26A9" w:rsidRPr="004F7E58">
        <w:rPr>
          <w:b/>
          <w:color w:val="C00000"/>
          <w:lang w:val="bs-Latn-BA"/>
        </w:rPr>
        <w:t>202</w:t>
      </w:r>
      <w:r w:rsidR="00061787" w:rsidRPr="004F7E58">
        <w:rPr>
          <w:b/>
          <w:color w:val="C00000"/>
          <w:lang w:val="bs-Latn-BA"/>
        </w:rPr>
        <w:t>4</w:t>
      </w:r>
      <w:r w:rsidRPr="004F7E58">
        <w:rPr>
          <w:b/>
          <w:color w:val="C00000"/>
          <w:lang w:val="bs-Latn-BA"/>
        </w:rPr>
        <w:t>. godini</w:t>
      </w:r>
      <w:bookmarkEnd w:id="36"/>
    </w:p>
    <w:p w14:paraId="4E09DA42" w14:textId="77777777" w:rsidR="00DD6650" w:rsidRPr="004F7E58" w:rsidRDefault="00DD6650" w:rsidP="00DD6650">
      <w:pPr>
        <w:rPr>
          <w:lang w:val="bs-Latn-BA"/>
        </w:rPr>
      </w:pPr>
    </w:p>
    <w:p w14:paraId="06589D83" w14:textId="64288B3C" w:rsidR="00DD6650" w:rsidRPr="004F7E58" w:rsidRDefault="006B4770" w:rsidP="00DD6650">
      <w:pPr>
        <w:rPr>
          <w:lang w:val="bs-Latn-BA"/>
        </w:rPr>
      </w:pPr>
      <w:r w:rsidRPr="004F7E58">
        <w:rPr>
          <w:lang w:val="bs-Latn-BA"/>
        </w:rPr>
        <w:t xml:space="preserve">Od tri indikatora </w:t>
      </w:r>
      <w:r w:rsidR="00822E74" w:rsidRPr="004F7E58">
        <w:rPr>
          <w:lang w:val="bs-Latn-BA"/>
        </w:rPr>
        <w:t xml:space="preserve">rezultata </w:t>
      </w:r>
      <w:r w:rsidRPr="004F7E58">
        <w:rPr>
          <w:lang w:val="bs-Latn-BA"/>
        </w:rPr>
        <w:t xml:space="preserve">koji se prate na nivou stuba, </w:t>
      </w:r>
      <w:r w:rsidR="00E90DB9" w:rsidRPr="004F7E58">
        <w:rPr>
          <w:lang w:val="bs-Latn-BA"/>
        </w:rPr>
        <w:t>dvije ciljne vrijednosti su postignute</w:t>
      </w:r>
      <w:r w:rsidR="003E3FE8" w:rsidRPr="004F7E58">
        <w:rPr>
          <w:lang w:val="bs-Latn-BA"/>
        </w:rPr>
        <w:t>, a z</w:t>
      </w:r>
      <w:r w:rsidRPr="004F7E58">
        <w:rPr>
          <w:lang w:val="bs-Latn-BA"/>
        </w:rPr>
        <w:t>a posljednji rok za realizaciju nije istekao</w:t>
      </w:r>
      <w:r w:rsidR="00DD6650" w:rsidRPr="004F7E58">
        <w:rPr>
          <w:lang w:val="bs-Latn-BA"/>
        </w:rPr>
        <w:t>.</w:t>
      </w:r>
      <w:r w:rsidR="00822E74" w:rsidRPr="004F7E58">
        <w:rPr>
          <w:noProof/>
          <w:lang w:val="bs-Latn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240"/>
        <w:gridCol w:w="535"/>
      </w:tblGrid>
      <w:tr w:rsidR="00DD6650" w:rsidRPr="004F7E58" w14:paraId="79722957" w14:textId="77777777" w:rsidTr="004E149A">
        <w:trPr>
          <w:trHeight w:val="538"/>
        </w:trPr>
        <w:tc>
          <w:tcPr>
            <w:tcW w:w="5575" w:type="dxa"/>
            <w:vMerge w:val="restart"/>
            <w:vAlign w:val="center"/>
          </w:tcPr>
          <w:p w14:paraId="4194A643" w14:textId="02727B94" w:rsidR="00DD6650" w:rsidRPr="004F7E58" w:rsidRDefault="00E90DB9" w:rsidP="000701C7">
            <w:pPr>
              <w:jc w:val="center"/>
              <w:rPr>
                <w:noProof/>
              </w:rPr>
            </w:pPr>
            <w:r w:rsidRPr="004F7E58">
              <w:rPr>
                <w:noProof/>
              </w:rPr>
              <w:drawing>
                <wp:inline distT="0" distB="0" distL="0" distR="0" wp14:anchorId="5A8ACDD4" wp14:editId="1A0721BF">
                  <wp:extent cx="2469960" cy="2526281"/>
                  <wp:effectExtent l="0" t="0" r="6985" b="7620"/>
                  <wp:docPr id="16" name="Chart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109F63C3" w14:textId="59E8F5E9" w:rsidR="005C6BF2" w:rsidRPr="004F7E58" w:rsidRDefault="005C6BF2" w:rsidP="000701C7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4DC2FA05" w14:textId="77777777" w:rsidR="00DD6650" w:rsidRPr="004F7E58" w:rsidRDefault="00DD6650" w:rsidP="000701C7">
            <w:pPr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Legenda</w:t>
            </w:r>
          </w:p>
        </w:tc>
        <w:tc>
          <w:tcPr>
            <w:tcW w:w="535" w:type="dxa"/>
            <w:vAlign w:val="center"/>
          </w:tcPr>
          <w:p w14:paraId="4BFE64E9" w14:textId="77777777" w:rsidR="00DD6650" w:rsidRPr="004F7E58" w:rsidRDefault="00DD6650" w:rsidP="000701C7">
            <w:pPr>
              <w:jc w:val="center"/>
              <w:rPr>
                <w:b/>
                <w:noProof/>
                <w:sz w:val="18"/>
              </w:rPr>
            </w:pPr>
            <w:r w:rsidRPr="004F7E58">
              <w:rPr>
                <w:b/>
                <w:noProof/>
                <w:sz w:val="18"/>
              </w:rPr>
              <w:t>#</w:t>
            </w:r>
          </w:p>
        </w:tc>
      </w:tr>
      <w:tr w:rsidR="00DD6650" w:rsidRPr="004F7E58" w14:paraId="5D77E3D8" w14:textId="77777777" w:rsidTr="00A0647B">
        <w:trPr>
          <w:trHeight w:val="538"/>
        </w:trPr>
        <w:tc>
          <w:tcPr>
            <w:tcW w:w="5575" w:type="dxa"/>
            <w:vMerge/>
            <w:vAlign w:val="center"/>
          </w:tcPr>
          <w:p w14:paraId="2BA8E19F" w14:textId="77777777" w:rsidR="00DD6650" w:rsidRPr="004F7E58" w:rsidRDefault="00DD6650" w:rsidP="000701C7">
            <w:pPr>
              <w:jc w:val="center"/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08E463B6" w14:textId="77777777" w:rsidR="00DD6650" w:rsidRPr="004F7E58" w:rsidRDefault="00DD6650" w:rsidP="000701C7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0000"/>
            <w:vAlign w:val="center"/>
          </w:tcPr>
          <w:p w14:paraId="3CD1F384" w14:textId="77777777" w:rsidR="00DD6650" w:rsidRPr="004F7E58" w:rsidRDefault="00DD6650" w:rsidP="00884D43">
            <w:pPr>
              <w:jc w:val="center"/>
              <w:rPr>
                <w:noProof/>
                <w:sz w:val="18"/>
              </w:rPr>
            </w:pPr>
          </w:p>
        </w:tc>
      </w:tr>
      <w:tr w:rsidR="00DD6650" w:rsidRPr="004F7E58" w14:paraId="7F4B8339" w14:textId="77777777" w:rsidTr="00A0647B">
        <w:trPr>
          <w:trHeight w:val="538"/>
        </w:trPr>
        <w:tc>
          <w:tcPr>
            <w:tcW w:w="5575" w:type="dxa"/>
            <w:vMerge/>
          </w:tcPr>
          <w:p w14:paraId="5B6CCDF4" w14:textId="77777777" w:rsidR="00DD6650" w:rsidRPr="004F7E58" w:rsidRDefault="00DD6650" w:rsidP="000701C7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7825E679" w14:textId="77777777" w:rsidR="00DD6650" w:rsidRPr="004F7E58" w:rsidRDefault="00DD6650" w:rsidP="000701C7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djelomično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FFE599" w:themeFill="accent4" w:themeFillTint="66"/>
            <w:vAlign w:val="center"/>
          </w:tcPr>
          <w:p w14:paraId="6107B22E" w14:textId="7CFB9D20" w:rsidR="00DD6650" w:rsidRPr="004F7E58" w:rsidRDefault="00DD6650" w:rsidP="00884D43">
            <w:pPr>
              <w:jc w:val="center"/>
              <w:rPr>
                <w:noProof/>
                <w:sz w:val="18"/>
              </w:rPr>
            </w:pPr>
          </w:p>
        </w:tc>
      </w:tr>
      <w:tr w:rsidR="00DD6650" w:rsidRPr="004F7E58" w14:paraId="084DB7F5" w14:textId="77777777" w:rsidTr="00A0647B">
        <w:trPr>
          <w:trHeight w:val="538"/>
        </w:trPr>
        <w:tc>
          <w:tcPr>
            <w:tcW w:w="5575" w:type="dxa"/>
            <w:vMerge/>
          </w:tcPr>
          <w:p w14:paraId="0EF60CDC" w14:textId="77777777" w:rsidR="00DD6650" w:rsidRPr="004F7E58" w:rsidRDefault="00DD6650" w:rsidP="000701C7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1057FDCF" w14:textId="77777777" w:rsidR="00DD6650" w:rsidRPr="004F7E58" w:rsidRDefault="00DD6650" w:rsidP="000701C7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postignuta</w:t>
            </w:r>
            <w:proofErr w:type="spellEnd"/>
          </w:p>
        </w:tc>
        <w:tc>
          <w:tcPr>
            <w:tcW w:w="535" w:type="dxa"/>
            <w:shd w:val="clear" w:color="auto" w:fill="C5E0B3" w:themeFill="accent6" w:themeFillTint="66"/>
            <w:vAlign w:val="center"/>
          </w:tcPr>
          <w:p w14:paraId="1AB0B648" w14:textId="382ABCE3" w:rsidR="00DD6650" w:rsidRPr="004F7E58" w:rsidRDefault="00E90DB9" w:rsidP="00884D43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2</w:t>
            </w:r>
          </w:p>
        </w:tc>
      </w:tr>
      <w:tr w:rsidR="00DD6650" w:rsidRPr="004F7E58" w14:paraId="600C8D6F" w14:textId="77777777" w:rsidTr="00A0647B">
        <w:trPr>
          <w:trHeight w:val="538"/>
        </w:trPr>
        <w:tc>
          <w:tcPr>
            <w:tcW w:w="5575" w:type="dxa"/>
            <w:vMerge/>
          </w:tcPr>
          <w:p w14:paraId="2896F6A4" w14:textId="77777777" w:rsidR="00DD6650" w:rsidRPr="004F7E58" w:rsidRDefault="00DD6650" w:rsidP="000701C7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4280B3BD" w14:textId="77777777" w:rsidR="00DD6650" w:rsidRPr="004F7E58" w:rsidRDefault="00DD6650" w:rsidP="000701C7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Rok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za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realizaciju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još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istekao</w:t>
            </w:r>
            <w:proofErr w:type="spellEnd"/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E7C4269" w14:textId="014FCBB1" w:rsidR="00DD6650" w:rsidRPr="004F7E58" w:rsidRDefault="00BD6639" w:rsidP="00884D43">
            <w:pPr>
              <w:jc w:val="center"/>
              <w:rPr>
                <w:noProof/>
                <w:sz w:val="18"/>
              </w:rPr>
            </w:pPr>
            <w:r w:rsidRPr="004F7E58">
              <w:rPr>
                <w:noProof/>
                <w:sz w:val="18"/>
              </w:rPr>
              <w:t>1</w:t>
            </w:r>
          </w:p>
        </w:tc>
      </w:tr>
      <w:tr w:rsidR="00DD6650" w:rsidRPr="004F7E58" w14:paraId="54A7A4E3" w14:textId="77777777" w:rsidTr="00A0647B">
        <w:trPr>
          <w:trHeight w:val="538"/>
        </w:trPr>
        <w:tc>
          <w:tcPr>
            <w:tcW w:w="5575" w:type="dxa"/>
            <w:vMerge/>
          </w:tcPr>
          <w:p w14:paraId="5C9ACC9D" w14:textId="77777777" w:rsidR="00DD6650" w:rsidRPr="004F7E58" w:rsidRDefault="00DD6650" w:rsidP="000701C7">
            <w:pPr>
              <w:rPr>
                <w:noProof/>
              </w:rPr>
            </w:pPr>
          </w:p>
        </w:tc>
        <w:tc>
          <w:tcPr>
            <w:tcW w:w="3240" w:type="dxa"/>
            <w:vAlign w:val="center"/>
          </w:tcPr>
          <w:p w14:paraId="39A89574" w14:textId="77777777" w:rsidR="00DD6650" w:rsidRPr="004F7E58" w:rsidRDefault="00DD6650" w:rsidP="000701C7">
            <w:pPr>
              <w:rPr>
                <w:noProof/>
                <w:sz w:val="18"/>
              </w:rPr>
            </w:pP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Ciljana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vrijednost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nije</w:t>
            </w:r>
            <w:proofErr w:type="spellEnd"/>
            <w:r w:rsidRPr="004F7E58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4F7E58">
              <w:rPr>
                <w:rFonts w:ascii="Calibri" w:hAnsi="Calibri" w:cs="Calibri"/>
                <w:color w:val="000000"/>
                <w:sz w:val="18"/>
              </w:rPr>
              <w:t>definirana</w:t>
            </w:r>
            <w:proofErr w:type="spellEnd"/>
          </w:p>
        </w:tc>
        <w:tc>
          <w:tcPr>
            <w:tcW w:w="535" w:type="dxa"/>
            <w:shd w:val="clear" w:color="auto" w:fill="FFCCFF"/>
            <w:vAlign w:val="center"/>
          </w:tcPr>
          <w:p w14:paraId="137A44A2" w14:textId="77777777" w:rsidR="00DD6650" w:rsidRPr="004F7E58" w:rsidRDefault="00DD6650" w:rsidP="00884D43">
            <w:pPr>
              <w:jc w:val="center"/>
              <w:rPr>
                <w:noProof/>
                <w:sz w:val="18"/>
              </w:rPr>
            </w:pPr>
          </w:p>
        </w:tc>
      </w:tr>
    </w:tbl>
    <w:p w14:paraId="3E6D6E7C" w14:textId="77777777" w:rsidR="00DD6650" w:rsidRPr="004F7E58" w:rsidRDefault="00DD6650" w:rsidP="00DD6650">
      <w:pPr>
        <w:rPr>
          <w:noProof/>
        </w:rPr>
      </w:pPr>
    </w:p>
    <w:p w14:paraId="0734529B" w14:textId="191E9CF3" w:rsidR="00DD6650" w:rsidRPr="004F7E58" w:rsidRDefault="00E90DB9" w:rsidP="00E90DB9">
      <w:pPr>
        <w:rPr>
          <w:noProof/>
        </w:rPr>
      </w:pPr>
      <w:r w:rsidRPr="004F7E58">
        <w:rPr>
          <w:noProof/>
        </w:rPr>
        <w:t>Ostvarena je planirana ciljna vrijednosti stuba za 2024. koja se odnosi na implementaciju preporuka revizije i broj revizija. Rok za realizaciju ciljne vrijednosti rezultata stuba (Usvojene izmjene Ustava FBiH koje uvrštavaju Ured za reviziju institucija u FBiH) nije istekao u 2024. godini.</w:t>
      </w:r>
    </w:p>
    <w:tbl>
      <w:tblPr>
        <w:tblStyle w:val="TableGrid"/>
        <w:tblW w:w="0" w:type="auto"/>
        <w:tblInd w:w="-15" w:type="dxa"/>
        <w:tblLook w:val="04A0" w:firstRow="1" w:lastRow="0" w:firstColumn="1" w:lastColumn="0" w:noHBand="0" w:noVBand="1"/>
      </w:tblPr>
      <w:tblGrid>
        <w:gridCol w:w="1946"/>
        <w:gridCol w:w="3065"/>
        <w:gridCol w:w="2016"/>
        <w:gridCol w:w="2323"/>
      </w:tblGrid>
      <w:tr w:rsidR="009A3A4C" w:rsidRPr="004F7E58" w14:paraId="36A186BD" w14:textId="77777777" w:rsidTr="00725888">
        <w:tc>
          <w:tcPr>
            <w:tcW w:w="1946" w:type="dxa"/>
            <w:shd w:val="clear" w:color="auto" w:fill="D9E2F3" w:themeFill="accent5" w:themeFillTint="33"/>
          </w:tcPr>
          <w:p w14:paraId="6093B8CA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Rezultat</w:t>
            </w:r>
          </w:p>
        </w:tc>
        <w:tc>
          <w:tcPr>
            <w:tcW w:w="3065" w:type="dxa"/>
            <w:shd w:val="clear" w:color="auto" w:fill="D9E2F3" w:themeFill="accent5" w:themeFillTint="33"/>
          </w:tcPr>
          <w:p w14:paraId="1E2502B0" w14:textId="77777777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Indikator</w:t>
            </w:r>
          </w:p>
        </w:tc>
        <w:tc>
          <w:tcPr>
            <w:tcW w:w="2016" w:type="dxa"/>
            <w:shd w:val="clear" w:color="auto" w:fill="D9E2F3" w:themeFill="accent5" w:themeFillTint="33"/>
          </w:tcPr>
          <w:p w14:paraId="0CE4E398" w14:textId="6CBA2433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Ciljna vrijednost u 202</w:t>
            </w:r>
            <w:r w:rsidR="0052250D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  <w:tc>
          <w:tcPr>
            <w:tcW w:w="2323" w:type="dxa"/>
            <w:shd w:val="clear" w:color="auto" w:fill="D9E2F3" w:themeFill="accent5" w:themeFillTint="33"/>
          </w:tcPr>
          <w:p w14:paraId="43FC06E6" w14:textId="27B23B95" w:rsidR="009A3A4C" w:rsidRPr="004F7E58" w:rsidRDefault="009A3A4C" w:rsidP="00112527">
            <w:pPr>
              <w:pStyle w:val="NormalPFM1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Ostvarenje u 202</w:t>
            </w:r>
            <w:r w:rsidR="0052250D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506A2D" w:rsidRPr="004F7E58" w14:paraId="6B7F183A" w14:textId="77777777" w:rsidTr="00725888">
        <w:tc>
          <w:tcPr>
            <w:tcW w:w="1946" w:type="dxa"/>
            <w:tcBorders>
              <w:bottom w:val="single" w:sz="4" w:space="0" w:color="auto"/>
            </w:tcBorders>
          </w:tcPr>
          <w:p w14:paraId="6DBACAB0" w14:textId="239A937E" w:rsidR="00506A2D" w:rsidRPr="004F7E58" w:rsidRDefault="00506A2D" w:rsidP="00506A2D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VI.A Ustavom uspostavljena nezavisna VRI i poštivanje funkcionalne, operativne i finansijske </w:t>
            </w:r>
            <w:r w:rsidRPr="004F7E58">
              <w:rPr>
                <w:noProof/>
                <w:lang w:val="bs-Latn-BA"/>
              </w:rPr>
              <w:lastRenderedPageBreak/>
              <w:t>nezavisnosti u praksi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31FEAD76" w14:textId="49A40785" w:rsidR="00506A2D" w:rsidRPr="004F7E58" w:rsidRDefault="00506A2D" w:rsidP="00506A2D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lastRenderedPageBreak/>
              <w:t>VI.A.a Usvojene izmjene Ustava FBiH koje uvrštavaju Ured za reviziju institucija u FBiH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2515486" w14:textId="1A5E2DB7" w:rsidR="00506A2D" w:rsidRPr="004F7E58" w:rsidRDefault="00506A2D" w:rsidP="00506A2D">
            <w:pPr>
              <w:pStyle w:val="NormalPFM1"/>
              <w:rPr>
                <w:i/>
                <w:noProof/>
                <w:lang w:val="bs-Latn-BA"/>
              </w:rPr>
            </w:pPr>
            <w:proofErr w:type="spellStart"/>
            <w:r w:rsidRPr="004F7E58">
              <w:rPr>
                <w:i/>
              </w:rPr>
              <w:t>Nije</w:t>
            </w:r>
            <w:proofErr w:type="spellEnd"/>
            <w:r w:rsidRPr="004F7E58">
              <w:rPr>
                <w:i/>
              </w:rPr>
              <w:t xml:space="preserve"> </w:t>
            </w:r>
            <w:proofErr w:type="spellStart"/>
            <w:r w:rsidRPr="004F7E58">
              <w:rPr>
                <w:i/>
              </w:rPr>
              <w:t>definisana</w:t>
            </w:r>
            <w:proofErr w:type="spellEnd"/>
            <w:r w:rsidRPr="004F7E58">
              <w:rPr>
                <w:i/>
              </w:rPr>
              <w:t xml:space="preserve"> za 20</w:t>
            </w:r>
            <w:r w:rsidR="0052250D" w:rsidRPr="004F7E58">
              <w:rPr>
                <w:i/>
              </w:rPr>
              <w:t>24</w:t>
            </w:r>
            <w:r w:rsidRPr="004F7E58">
              <w:rPr>
                <w:i/>
              </w:rPr>
              <w:t xml:space="preserve">. 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244530" w14:textId="041E2F4B" w:rsidR="00506A2D" w:rsidRPr="004F7E58" w:rsidRDefault="00506A2D" w:rsidP="00506A2D">
            <w:pPr>
              <w:pStyle w:val="NormalPFM1"/>
              <w:rPr>
                <w:noProof/>
                <w:lang w:val="bs-Latn-BA"/>
              </w:rPr>
            </w:pPr>
            <w:proofErr w:type="spellStart"/>
            <w:r w:rsidRPr="004F7E58">
              <w:t>Rok</w:t>
            </w:r>
            <w:proofErr w:type="spellEnd"/>
            <w:r w:rsidRPr="004F7E58">
              <w:t xml:space="preserve"> za </w:t>
            </w:r>
            <w:proofErr w:type="spellStart"/>
            <w:r w:rsidRPr="004F7E58">
              <w:t>realizaciju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još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nije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istekao</w:t>
            </w:r>
            <w:proofErr w:type="spellEnd"/>
          </w:p>
        </w:tc>
      </w:tr>
      <w:tr w:rsidR="00CA3A4D" w:rsidRPr="004F7E58" w14:paraId="7EA4DF67" w14:textId="77777777" w:rsidTr="00725888"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B9FD8" w14:textId="77777777" w:rsidR="00CA3A4D" w:rsidRPr="004F7E58" w:rsidRDefault="00CA3A4D" w:rsidP="00506A2D">
            <w:pPr>
              <w:pStyle w:val="NormalPFM1"/>
              <w:jc w:val="left"/>
              <w:rPr>
                <w:noProof/>
                <w:lang w:val="bs-Latn-BA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75AD7" w14:textId="4038C8C0" w:rsidR="00CA3A4D" w:rsidRPr="004F7E58" w:rsidRDefault="00A0647B" w:rsidP="00506A2D">
            <w:pPr>
              <w:pStyle w:val="NormalPFM1"/>
            </w:pPr>
            <w:proofErr w:type="spellStart"/>
            <w:r w:rsidRPr="004F7E58">
              <w:t>Rok</w:t>
            </w:r>
            <w:proofErr w:type="spellEnd"/>
            <w:r w:rsidRPr="004F7E58">
              <w:t xml:space="preserve"> za </w:t>
            </w:r>
            <w:proofErr w:type="spellStart"/>
            <w:r w:rsidRPr="004F7E58">
              <w:t>realizaciju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još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nije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istekao</w:t>
            </w:r>
            <w:proofErr w:type="spellEnd"/>
            <w:r w:rsidRPr="004F7E58">
              <w:t>.</w:t>
            </w:r>
          </w:p>
        </w:tc>
      </w:tr>
      <w:tr w:rsidR="00725888" w:rsidRPr="004F7E58" w14:paraId="7027F09F" w14:textId="77777777" w:rsidTr="004F7E58">
        <w:tc>
          <w:tcPr>
            <w:tcW w:w="1946" w:type="dxa"/>
            <w:vMerge w:val="restart"/>
            <w:tcBorders>
              <w:top w:val="single" w:sz="4" w:space="0" w:color="auto"/>
            </w:tcBorders>
          </w:tcPr>
          <w:p w14:paraId="40E92024" w14:textId="0E92C983" w:rsidR="00725888" w:rsidRPr="004F7E58" w:rsidRDefault="00725888" w:rsidP="00725888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VI.B Povećan učinak vanjske revizije</w:t>
            </w:r>
          </w:p>
        </w:tc>
        <w:tc>
          <w:tcPr>
            <w:tcW w:w="3065" w:type="dxa"/>
            <w:tcBorders>
              <w:top w:val="single" w:sz="4" w:space="0" w:color="auto"/>
              <w:bottom w:val="single" w:sz="4" w:space="0" w:color="auto"/>
            </w:tcBorders>
          </w:tcPr>
          <w:p w14:paraId="4A82DFD1" w14:textId="1B8FE639" w:rsidR="00725888" w:rsidRPr="004F7E58" w:rsidRDefault="00725888" w:rsidP="0072588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Vi.B.a  Povećan obim revizija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9D12D7E" w14:textId="39CF5F16" w:rsidR="00725888" w:rsidRPr="004F7E58" w:rsidRDefault="004C4174" w:rsidP="004F7E58">
            <w:pPr>
              <w:pStyle w:val="NormalPFM1"/>
              <w:jc w:val="center"/>
              <w:rPr>
                <w:noProof/>
                <w:lang w:val="bs-Latn-BA"/>
              </w:rPr>
            </w:pPr>
            <w:r>
              <w:t>123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8CB0914" w14:textId="43A4B07A" w:rsidR="00725888" w:rsidRPr="004F7E58" w:rsidRDefault="00725888" w:rsidP="00725888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za 2024. godinu je postignuta</w:t>
            </w:r>
          </w:p>
        </w:tc>
      </w:tr>
      <w:tr w:rsidR="00822E74" w:rsidRPr="004F7E58" w14:paraId="6AE3E835" w14:textId="77777777" w:rsidTr="00725888">
        <w:tc>
          <w:tcPr>
            <w:tcW w:w="1946" w:type="dxa"/>
            <w:vMerge/>
            <w:tcBorders>
              <w:bottom w:val="single" w:sz="4" w:space="0" w:color="auto"/>
            </w:tcBorders>
          </w:tcPr>
          <w:p w14:paraId="52C953FE" w14:textId="77777777" w:rsidR="00822E74" w:rsidRPr="004F7E58" w:rsidRDefault="00822E74" w:rsidP="00822E74">
            <w:pPr>
              <w:pStyle w:val="NormalPFM1"/>
              <w:jc w:val="left"/>
              <w:rPr>
                <w:noProof/>
                <w:lang w:val="bs-Latn-BA"/>
              </w:rPr>
            </w:pP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10A82280" w14:textId="42C085B1" w:rsidR="00822E74" w:rsidRPr="004F7E58" w:rsidRDefault="00822E74" w:rsidP="005C6BF2">
            <w:pPr>
              <w:pStyle w:val="NormalPFM1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VI.B.b. Povećan broj implementiranih preporuka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D403935" w14:textId="1A8046EC" w:rsidR="00822E74" w:rsidRPr="004F7E58" w:rsidRDefault="00835E5D" w:rsidP="004F7E58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t>3</w:t>
            </w:r>
            <w:r w:rsidR="0052250D" w:rsidRPr="004F7E58">
              <w:t>5</w:t>
            </w:r>
            <w:r w:rsidR="00822E74" w:rsidRPr="004F7E58">
              <w:t>%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3DF5C47" w14:textId="25CC90A5" w:rsidR="00822E74" w:rsidRPr="004F7E58" w:rsidRDefault="00822E74" w:rsidP="00E70803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Ciljana vrijednost za </w:t>
            </w:r>
            <w:r w:rsidR="00E70803" w:rsidRPr="004F7E58">
              <w:rPr>
                <w:noProof/>
                <w:lang w:val="bs-Latn-BA"/>
              </w:rPr>
              <w:t>202</w:t>
            </w:r>
            <w:r w:rsidR="0052250D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. godinu je postignuta</w:t>
            </w:r>
          </w:p>
        </w:tc>
      </w:tr>
      <w:tr w:rsidR="009A3A4C" w:rsidRPr="004F7E58" w14:paraId="2E2C560A" w14:textId="77777777" w:rsidTr="00725888"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D16874" w14:textId="77777777" w:rsidR="009A3A4C" w:rsidRPr="004F7E58" w:rsidRDefault="009A3A4C" w:rsidP="00112527">
            <w:pPr>
              <w:pStyle w:val="NormalPFM1"/>
              <w:rPr>
                <w:lang w:val="bs-Latn-BA"/>
              </w:rPr>
            </w:pPr>
          </w:p>
        </w:tc>
        <w:tc>
          <w:tcPr>
            <w:tcW w:w="74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D586" w14:textId="3AB2E8CB" w:rsidR="009A3A4C" w:rsidRPr="004F7E58" w:rsidRDefault="005E4C17" w:rsidP="00AA204D">
            <w:pPr>
              <w:pStyle w:val="NormalPFM1"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Planirane i izvršene su 123 finansijske revizije, kao i sedam izvještaja revizije učinka (ukupno 130) tokom 2024. godine. Realizacija preporuka u izvještajnom periodu bila je 39%.</w:t>
            </w:r>
          </w:p>
        </w:tc>
      </w:tr>
    </w:tbl>
    <w:p w14:paraId="578CC5BF" w14:textId="77777777" w:rsidR="00DD6650" w:rsidRPr="004F7E58" w:rsidRDefault="00DD6650" w:rsidP="00DD6650">
      <w:pPr>
        <w:rPr>
          <w:lang w:val="bs-Latn-BA"/>
        </w:rPr>
      </w:pPr>
    </w:p>
    <w:p w14:paraId="73474719" w14:textId="759A9056" w:rsidR="007A2B21" w:rsidRPr="004F7E58" w:rsidRDefault="00F13B99" w:rsidP="002371EF">
      <w:pPr>
        <w:pStyle w:val="Heading3"/>
        <w:numPr>
          <w:ilvl w:val="2"/>
          <w:numId w:val="31"/>
        </w:numPr>
        <w:rPr>
          <w:b/>
          <w:color w:val="C00000"/>
          <w:lang w:val="bs-Latn-BA"/>
        </w:rPr>
      </w:pPr>
      <w:bookmarkStart w:id="37" w:name="_Toc214450242"/>
      <w:r w:rsidRPr="004F7E58">
        <w:rPr>
          <w:b/>
          <w:color w:val="C00000"/>
          <w:lang w:val="bs-Latn-BA"/>
        </w:rPr>
        <w:t>Statistički pregled statusa aktivnosti i rezultata mjere</w:t>
      </w:r>
      <w:bookmarkEnd w:id="37"/>
    </w:p>
    <w:p w14:paraId="107F8651" w14:textId="77777777" w:rsidR="007A2B21" w:rsidRPr="004F7E58" w:rsidRDefault="007A2B21" w:rsidP="007A2B21">
      <w:pPr>
        <w:pStyle w:val="NormalPFM1"/>
        <w:rPr>
          <w:noProof/>
          <w:lang w:val="en-US" w:eastAsia="en-U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62"/>
        <w:gridCol w:w="3402"/>
        <w:gridCol w:w="355"/>
        <w:gridCol w:w="356"/>
        <w:gridCol w:w="3825"/>
        <w:gridCol w:w="425"/>
        <w:gridCol w:w="425"/>
      </w:tblGrid>
      <w:tr w:rsidR="001C423E" w:rsidRPr="004F7E58" w14:paraId="043BCF81" w14:textId="77777777" w:rsidTr="00A0647B">
        <w:trPr>
          <w:trHeight w:val="20"/>
        </w:trPr>
        <w:tc>
          <w:tcPr>
            <w:tcW w:w="562" w:type="dxa"/>
          </w:tcPr>
          <w:p w14:paraId="40BC3874" w14:textId="768E9E37" w:rsidR="001C423E" w:rsidRPr="004F7E58" w:rsidRDefault="005730F2" w:rsidP="00A57FA7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="001C423E" w:rsidRPr="004F7E58">
              <w:rPr>
                <w:rFonts w:cs="Calibri"/>
                <w:noProof/>
                <w:sz w:val="20"/>
                <w:lang w:val="bs-Latn-BA"/>
              </w:rPr>
              <w:t>I.1</w:t>
            </w:r>
          </w:p>
        </w:tc>
        <w:tc>
          <w:tcPr>
            <w:tcW w:w="8788" w:type="dxa"/>
            <w:gridSpan w:val="6"/>
          </w:tcPr>
          <w:p w14:paraId="003B7673" w14:textId="2C347513" w:rsidR="001C423E" w:rsidRPr="004F7E58" w:rsidRDefault="00020F24" w:rsidP="00A57FA7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Nezavisnost, mandat i organizaciju Ureda za reviziju institucija u FBiH osigurati ustavnim i zakonskim okvirima, i poštivati u praksi</w:t>
            </w:r>
          </w:p>
        </w:tc>
      </w:tr>
      <w:tr w:rsidR="001C423E" w:rsidRPr="004F7E58" w14:paraId="6C577C00" w14:textId="77777777" w:rsidTr="00A0647B">
        <w:trPr>
          <w:trHeight w:val="20"/>
        </w:trPr>
        <w:tc>
          <w:tcPr>
            <w:tcW w:w="562" w:type="dxa"/>
          </w:tcPr>
          <w:p w14:paraId="05944469" w14:textId="5858A468" w:rsidR="001C423E" w:rsidRPr="004F7E58" w:rsidRDefault="005730F2" w:rsidP="00A57FA7">
            <w:pPr>
              <w:pStyle w:val="NormalPFM1"/>
              <w:spacing w:before="0" w:after="0" w:line="240" w:lineRule="auto"/>
              <w:rPr>
                <w:noProof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="001C423E" w:rsidRPr="004F7E58">
              <w:rPr>
                <w:rFonts w:cs="Calibri"/>
                <w:noProof/>
                <w:sz w:val="20"/>
                <w:lang w:val="bs-Latn-BA"/>
              </w:rPr>
              <w:t>I.2</w:t>
            </w:r>
          </w:p>
        </w:tc>
        <w:tc>
          <w:tcPr>
            <w:tcW w:w="8788" w:type="dxa"/>
            <w:gridSpan w:val="6"/>
          </w:tcPr>
          <w:p w14:paraId="415EC926" w14:textId="35201247" w:rsidR="001C423E" w:rsidRPr="004F7E58" w:rsidRDefault="00020F24" w:rsidP="00A57FA7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Jačati institucionalne kapacitete Ureda za reviziju institucija u FBiH kako bi se osiguralo provođenje revizije u skladu sa INTOSAI-jevim  Okvirom profesionalnih objava i veća pokrivenost subjekata iz nadležnosti.</w:t>
            </w:r>
          </w:p>
        </w:tc>
      </w:tr>
      <w:tr w:rsidR="001C423E" w:rsidRPr="004F7E58" w14:paraId="7F28E55D" w14:textId="77777777" w:rsidTr="00A0647B">
        <w:trPr>
          <w:trHeight w:val="20"/>
        </w:trPr>
        <w:tc>
          <w:tcPr>
            <w:tcW w:w="562" w:type="dxa"/>
          </w:tcPr>
          <w:p w14:paraId="52A12936" w14:textId="5BA81082" w:rsidR="001C423E" w:rsidRPr="004F7E58" w:rsidRDefault="005730F2" w:rsidP="00A57FA7">
            <w:pPr>
              <w:pStyle w:val="NormalPFM1"/>
              <w:spacing w:before="0" w:after="0" w:line="240" w:lineRule="auto"/>
              <w:rPr>
                <w:rFonts w:cs="Calibri"/>
                <w:noProof/>
                <w:sz w:val="20"/>
                <w:lang w:val="bs-Latn-BA"/>
              </w:rPr>
            </w:pPr>
            <w:r w:rsidRPr="004F7E58">
              <w:rPr>
                <w:rFonts w:cs="Calibri"/>
                <w:noProof/>
                <w:sz w:val="20"/>
                <w:lang w:val="bs-Latn-BA"/>
              </w:rPr>
              <w:t>V</w:t>
            </w:r>
            <w:r w:rsidR="001C423E" w:rsidRPr="004F7E58">
              <w:rPr>
                <w:rFonts w:cs="Calibri"/>
                <w:noProof/>
                <w:sz w:val="20"/>
                <w:lang w:val="bs-Latn-BA"/>
              </w:rPr>
              <w:t>I.3</w:t>
            </w:r>
          </w:p>
        </w:tc>
        <w:tc>
          <w:tcPr>
            <w:tcW w:w="8788" w:type="dxa"/>
            <w:gridSpan w:val="6"/>
          </w:tcPr>
          <w:p w14:paraId="0BB6CED1" w14:textId="2A6A1007" w:rsidR="001C423E" w:rsidRPr="004F7E58" w:rsidRDefault="00020F24" w:rsidP="00A57FA7">
            <w:pPr>
              <w:pStyle w:val="NormalPFM1"/>
              <w:spacing w:before="0" w:after="0" w:line="240" w:lineRule="auto"/>
              <w:jc w:val="left"/>
              <w:rPr>
                <w:noProof/>
                <w:sz w:val="20"/>
                <w:szCs w:val="20"/>
                <w:lang w:val="bs-Latn-BA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Primjena INTOSAI Okvira profesionalnih objava, s ciljem osiguranja visokokvalitetnih revizija koje doprinose poboljšanju upravljanja javnim finansijama</w:t>
            </w:r>
          </w:p>
        </w:tc>
      </w:tr>
      <w:tr w:rsidR="005E4C17" w:rsidRPr="004F7E58" w14:paraId="03B18A9E" w14:textId="77777777" w:rsidTr="00A0647B">
        <w:tc>
          <w:tcPr>
            <w:tcW w:w="9350" w:type="dxa"/>
            <w:gridSpan w:val="7"/>
          </w:tcPr>
          <w:p w14:paraId="733CEF34" w14:textId="4DD91992" w:rsidR="005E4C17" w:rsidRPr="004F7E58" w:rsidRDefault="005E4C17" w:rsidP="004F7E58">
            <w:pPr>
              <w:pStyle w:val="NormalPFM1"/>
              <w:rPr>
                <w:noProof/>
                <w:lang w:val="bs-Latn-BA"/>
              </w:rPr>
            </w:pPr>
            <w:proofErr w:type="spellStart"/>
            <w:r w:rsidRPr="004F7E58">
              <w:t>Sve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aktivnosti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planirane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strategijom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procesu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implementacije</w:t>
            </w:r>
            <w:proofErr w:type="spellEnd"/>
            <w:r w:rsidRPr="004F7E58">
              <w:t xml:space="preserve"> od 2022. </w:t>
            </w:r>
            <w:proofErr w:type="spellStart"/>
            <w:r w:rsidRPr="004F7E58">
              <w:t>godine</w:t>
            </w:r>
            <w:proofErr w:type="spellEnd"/>
            <w:r w:rsidRPr="004F7E58">
              <w:t xml:space="preserve">. </w:t>
            </w:r>
            <w:r w:rsidR="00872A76" w:rsidRPr="004F7E58">
              <w:t>Pet</w:t>
            </w:r>
            <w:r w:rsidRPr="004F7E58">
              <w:t xml:space="preserve"> </w:t>
            </w:r>
            <w:proofErr w:type="spellStart"/>
            <w:r w:rsidRPr="004F7E58">
              <w:t>rezultat</w:t>
            </w:r>
            <w:r w:rsidR="00872A76" w:rsidRPr="004F7E58">
              <w:t>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je </w:t>
            </w:r>
            <w:proofErr w:type="spellStart"/>
            <w:r w:rsidR="00872A76" w:rsidRPr="004F7E58">
              <w:t>je</w:t>
            </w:r>
            <w:proofErr w:type="spellEnd"/>
            <w:r w:rsidR="00872A76" w:rsidRPr="004F7E58">
              <w:t xml:space="preserve"> </w:t>
            </w:r>
            <w:proofErr w:type="spellStart"/>
            <w:r w:rsidR="00872A76" w:rsidRPr="004F7E58">
              <w:t>već</w:t>
            </w:r>
            <w:proofErr w:type="spellEnd"/>
            <w:r w:rsidR="00872A76" w:rsidRPr="004F7E58">
              <w:t xml:space="preserve"> </w:t>
            </w:r>
            <w:proofErr w:type="spellStart"/>
            <w:r w:rsidR="00872A76" w:rsidRPr="004F7E58">
              <w:t>djelomično</w:t>
            </w:r>
            <w:proofErr w:type="spellEnd"/>
            <w:r w:rsidR="00872A76" w:rsidRPr="004F7E58">
              <w:t xml:space="preserve"> </w:t>
            </w:r>
            <w:proofErr w:type="spellStart"/>
            <w:r w:rsidRPr="004F7E58">
              <w:t>postignut</w:t>
            </w:r>
            <w:r w:rsidR="00872A76" w:rsidRPr="004F7E58">
              <w:t>o</w:t>
            </w:r>
            <w:proofErr w:type="spellEnd"/>
            <w:r w:rsidRPr="004F7E58">
              <w:t xml:space="preserve">, </w:t>
            </w:r>
            <w:proofErr w:type="spellStart"/>
            <w:r w:rsidRPr="004F7E58">
              <w:t>dok</w:t>
            </w:r>
            <w:proofErr w:type="spellEnd"/>
            <w:r w:rsidRPr="004F7E58">
              <w:t xml:space="preserve"> za </w:t>
            </w:r>
            <w:proofErr w:type="spellStart"/>
            <w:r w:rsidRPr="004F7E58">
              <w:t>njih</w:t>
            </w:r>
            <w:proofErr w:type="spellEnd"/>
            <w:r w:rsidRPr="004F7E58">
              <w:t xml:space="preserve"> </w:t>
            </w:r>
            <w:proofErr w:type="spellStart"/>
            <w:r w:rsidR="00872A76" w:rsidRPr="004F7E58">
              <w:t>četiri</w:t>
            </w:r>
            <w:proofErr w:type="spellEnd"/>
            <w:r w:rsidR="00872A76" w:rsidRPr="004F7E58">
              <w:t xml:space="preserve"> </w:t>
            </w:r>
            <w:proofErr w:type="spellStart"/>
            <w:r w:rsidRPr="004F7E58">
              <w:t>nije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istekao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rok</w:t>
            </w:r>
            <w:proofErr w:type="spellEnd"/>
            <w:r w:rsidRPr="004F7E58">
              <w:t xml:space="preserve"> za </w:t>
            </w:r>
            <w:proofErr w:type="spellStart"/>
            <w:r w:rsidRPr="004F7E58">
              <w:t>realizaciju</w:t>
            </w:r>
            <w:proofErr w:type="spellEnd"/>
            <w:r w:rsidRPr="004F7E58">
              <w:t>.</w:t>
            </w:r>
          </w:p>
        </w:tc>
      </w:tr>
      <w:tr w:rsidR="001C423E" w:rsidRPr="004F7E58" w14:paraId="2EB5073E" w14:textId="77777777" w:rsidTr="004F7E58">
        <w:tc>
          <w:tcPr>
            <w:tcW w:w="4675" w:type="dxa"/>
            <w:gridSpan w:val="4"/>
            <w:shd w:val="clear" w:color="auto" w:fill="auto"/>
          </w:tcPr>
          <w:p w14:paraId="4D1F7217" w14:textId="1CB6CBD6" w:rsidR="001C423E" w:rsidRPr="004F7E58" w:rsidRDefault="00872A76" w:rsidP="00A57FA7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7A19D1FE" wp14:editId="30680B05">
                  <wp:extent cx="2513888" cy="2368210"/>
                  <wp:effectExtent l="0" t="0" r="1270" b="13335"/>
                  <wp:docPr id="19" name="Chart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4675" w:type="dxa"/>
            <w:gridSpan w:val="3"/>
            <w:shd w:val="clear" w:color="auto" w:fill="auto"/>
          </w:tcPr>
          <w:p w14:paraId="4A68BA04" w14:textId="2BB68365" w:rsidR="001C423E" w:rsidRPr="004F7E58" w:rsidRDefault="00072A80" w:rsidP="00A57FA7">
            <w:pPr>
              <w:pStyle w:val="NormalPFM1"/>
              <w:jc w:val="center"/>
              <w:rPr>
                <w:noProof/>
                <w:lang w:val="bs-Latn-BA"/>
              </w:rPr>
            </w:pPr>
            <w:r w:rsidRPr="004F7E58">
              <w:rPr>
                <w:noProof/>
                <w:lang w:val="en-US" w:eastAsia="en-US"/>
              </w:rPr>
              <w:drawing>
                <wp:inline distT="0" distB="0" distL="0" distR="0" wp14:anchorId="3ECDEB57" wp14:editId="6A1758AC">
                  <wp:extent cx="2491325" cy="2368210"/>
                  <wp:effectExtent l="0" t="0" r="4445" b="13335"/>
                  <wp:docPr id="17" name="Chart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F00473" w:rsidRPr="004F7E58" w14:paraId="33B994A2" w14:textId="77777777" w:rsidTr="00A0647B">
        <w:tc>
          <w:tcPr>
            <w:tcW w:w="3964" w:type="dxa"/>
            <w:gridSpan w:val="2"/>
          </w:tcPr>
          <w:p w14:paraId="572C50CA" w14:textId="19645B33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(ali predviđeno u 202</w:t>
            </w:r>
            <w:r w:rsidR="005E4C17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F0000"/>
          </w:tcPr>
          <w:p w14:paraId="5A2428ED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3842FA3E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7C86F6CF" w14:textId="5F98C625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postignuta</w:t>
            </w:r>
          </w:p>
        </w:tc>
        <w:tc>
          <w:tcPr>
            <w:tcW w:w="425" w:type="dxa"/>
            <w:shd w:val="clear" w:color="auto" w:fill="FF0000"/>
          </w:tcPr>
          <w:p w14:paraId="60B75EAE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75B8203C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F00473" w:rsidRPr="004F7E58" w14:paraId="3CAFE311" w14:textId="77777777" w:rsidTr="00A0647B">
        <w:tc>
          <w:tcPr>
            <w:tcW w:w="3964" w:type="dxa"/>
            <w:gridSpan w:val="2"/>
          </w:tcPr>
          <w:p w14:paraId="7187E7FC" w14:textId="2A91B21B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Nije započeta (nije ni predviđeno u 202</w:t>
            </w:r>
            <w:r w:rsidR="005E4C17" w:rsidRPr="004F7E58">
              <w:rPr>
                <w:noProof/>
                <w:lang w:val="bs-Latn-BA"/>
              </w:rPr>
              <w:t>4</w:t>
            </w:r>
            <w:r w:rsidRPr="004F7E58">
              <w:rPr>
                <w:noProof/>
                <w:lang w:val="bs-Latn-BA"/>
              </w:rPr>
              <w:t>)</w:t>
            </w:r>
          </w:p>
        </w:tc>
        <w:tc>
          <w:tcPr>
            <w:tcW w:w="355" w:type="dxa"/>
            <w:shd w:val="clear" w:color="auto" w:fill="F2F2F2" w:themeFill="background1" w:themeFillShade="F2"/>
          </w:tcPr>
          <w:p w14:paraId="05DBA649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5686FC2F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138583B9" w14:textId="117FDD3A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djelomično postignuta</w:t>
            </w:r>
          </w:p>
        </w:tc>
        <w:tc>
          <w:tcPr>
            <w:tcW w:w="425" w:type="dxa"/>
            <w:shd w:val="clear" w:color="auto" w:fill="FFE599" w:themeFill="accent4" w:themeFillTint="66"/>
          </w:tcPr>
          <w:p w14:paraId="041B1239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1D96C929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F00473" w:rsidRPr="004F7E58" w14:paraId="48D4FD5B" w14:textId="77777777" w:rsidTr="00A0647B">
        <w:tc>
          <w:tcPr>
            <w:tcW w:w="3964" w:type="dxa"/>
            <w:gridSpan w:val="2"/>
          </w:tcPr>
          <w:p w14:paraId="42A6CD5B" w14:textId="242492DB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  <w:tc>
          <w:tcPr>
            <w:tcW w:w="355" w:type="dxa"/>
            <w:shd w:val="clear" w:color="auto" w:fill="FFE599" w:themeFill="accent4" w:themeFillTint="66"/>
          </w:tcPr>
          <w:p w14:paraId="1420EF28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4E8395DE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2919324D" w14:textId="0B269A53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46AB86D8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3D60E243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F00473" w:rsidRPr="004F7E58" w14:paraId="492CCB06" w14:textId="77777777" w:rsidTr="000570E6">
        <w:tc>
          <w:tcPr>
            <w:tcW w:w="3964" w:type="dxa"/>
            <w:gridSpan w:val="2"/>
          </w:tcPr>
          <w:p w14:paraId="2E085DCF" w14:textId="3CE32EDB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  <w:r w:rsidR="00126197" w:rsidRPr="004F7E58">
              <w:rPr>
                <w:noProof/>
                <w:lang w:val="bs-Latn-BA"/>
              </w:rPr>
              <w:t>u 202</w:t>
            </w:r>
            <w:r w:rsidR="005E4C17" w:rsidRPr="004F7E58">
              <w:rPr>
                <w:noProof/>
                <w:lang w:val="bs-Latn-BA"/>
              </w:rPr>
              <w:t>4</w:t>
            </w:r>
          </w:p>
        </w:tc>
        <w:tc>
          <w:tcPr>
            <w:tcW w:w="355" w:type="dxa"/>
            <w:shd w:val="clear" w:color="auto" w:fill="C5E0B3" w:themeFill="accent6" w:themeFillTint="66"/>
          </w:tcPr>
          <w:p w14:paraId="12038832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color w:val="FFFF00"/>
                <w:lang w:val="bs-Latn-BA"/>
              </w:rPr>
            </w:pPr>
          </w:p>
        </w:tc>
        <w:tc>
          <w:tcPr>
            <w:tcW w:w="356" w:type="dxa"/>
          </w:tcPr>
          <w:p w14:paraId="2C8CB045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2C531332" w14:textId="2CB24DB8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A142DA0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4326F90A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F00473" w:rsidRPr="004F7E58" w14:paraId="559C0246" w14:textId="77777777" w:rsidTr="000570E6">
        <w:tc>
          <w:tcPr>
            <w:tcW w:w="3964" w:type="dxa"/>
            <w:gridSpan w:val="2"/>
          </w:tcPr>
          <w:p w14:paraId="56758F94" w14:textId="242099FE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lastRenderedPageBreak/>
              <w:t>Završena iz prethodnog perioda</w:t>
            </w:r>
          </w:p>
        </w:tc>
        <w:tc>
          <w:tcPr>
            <w:tcW w:w="355" w:type="dxa"/>
            <w:shd w:val="clear" w:color="auto" w:fill="00B050"/>
          </w:tcPr>
          <w:p w14:paraId="7711F7E7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076062A4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17B4DBA9" w14:textId="1F18E162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nije definirana</w:t>
            </w:r>
          </w:p>
        </w:tc>
        <w:tc>
          <w:tcPr>
            <w:tcW w:w="425" w:type="dxa"/>
            <w:shd w:val="clear" w:color="auto" w:fill="FFCCFF"/>
          </w:tcPr>
          <w:p w14:paraId="105BB113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28A4CEBD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  <w:tr w:rsidR="00F00473" w:rsidRPr="004F7E58" w14:paraId="6352DB22" w14:textId="77777777" w:rsidTr="000570E6">
        <w:tc>
          <w:tcPr>
            <w:tcW w:w="3964" w:type="dxa"/>
            <w:gridSpan w:val="2"/>
          </w:tcPr>
          <w:p w14:paraId="5D101A8F" w14:textId="188B3CB4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5" w:type="dxa"/>
          </w:tcPr>
          <w:p w14:paraId="4DD7C5B4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56" w:type="dxa"/>
          </w:tcPr>
          <w:p w14:paraId="69C8577D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3825" w:type="dxa"/>
          </w:tcPr>
          <w:p w14:paraId="45D15317" w14:textId="31BD82D0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Ciljana vrijednost postignuta u prethodnom periodu</w:t>
            </w:r>
          </w:p>
        </w:tc>
        <w:tc>
          <w:tcPr>
            <w:tcW w:w="425" w:type="dxa"/>
            <w:shd w:val="clear" w:color="auto" w:fill="00B050"/>
          </w:tcPr>
          <w:p w14:paraId="0A6D7CCA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  <w:tc>
          <w:tcPr>
            <w:tcW w:w="425" w:type="dxa"/>
          </w:tcPr>
          <w:p w14:paraId="25590649" w14:textId="77777777" w:rsidR="00F00473" w:rsidRPr="004F7E58" w:rsidRDefault="00F00473" w:rsidP="00F00473">
            <w:pPr>
              <w:pStyle w:val="NormalPFM1"/>
              <w:spacing w:before="0" w:after="0"/>
              <w:rPr>
                <w:noProof/>
                <w:lang w:val="bs-Latn-BA"/>
              </w:rPr>
            </w:pPr>
          </w:p>
        </w:tc>
      </w:tr>
    </w:tbl>
    <w:p w14:paraId="2F300974" w14:textId="77777777" w:rsidR="002C3905" w:rsidRPr="004F7E58" w:rsidRDefault="002C3905" w:rsidP="002C3905"/>
    <w:p w14:paraId="127079FA" w14:textId="0417A735" w:rsidR="00DD6650" w:rsidRPr="004F7E58" w:rsidRDefault="00DD6650" w:rsidP="002371EF">
      <w:pPr>
        <w:pStyle w:val="Heading4"/>
        <w:numPr>
          <w:ilvl w:val="3"/>
          <w:numId w:val="31"/>
        </w:numPr>
        <w:rPr>
          <w:b/>
          <w:i w:val="0"/>
          <w:color w:val="C00000"/>
          <w:sz w:val="24"/>
        </w:rPr>
      </w:pPr>
      <w:proofErr w:type="spellStart"/>
      <w:r w:rsidRPr="004F7E58">
        <w:rPr>
          <w:b/>
          <w:i w:val="0"/>
          <w:color w:val="C00000"/>
          <w:sz w:val="24"/>
        </w:rPr>
        <w:t>Mjera</w:t>
      </w:r>
      <w:proofErr w:type="spellEnd"/>
      <w:r w:rsidRPr="004F7E58">
        <w:rPr>
          <w:b/>
          <w:i w:val="0"/>
          <w:color w:val="C00000"/>
          <w:sz w:val="24"/>
        </w:rPr>
        <w:t xml:space="preserve"> VI.</w:t>
      </w:r>
      <w:r w:rsidR="00020F24" w:rsidRPr="004F7E58">
        <w:rPr>
          <w:b/>
          <w:i w:val="0"/>
          <w:color w:val="C00000"/>
          <w:sz w:val="24"/>
        </w:rPr>
        <w:t xml:space="preserve">1. </w:t>
      </w:r>
      <w:proofErr w:type="spellStart"/>
      <w:r w:rsidR="00020F24" w:rsidRPr="004F7E58">
        <w:rPr>
          <w:b/>
          <w:i w:val="0"/>
          <w:color w:val="C00000"/>
          <w:sz w:val="24"/>
        </w:rPr>
        <w:t>Nezavisnost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, </w:t>
      </w:r>
      <w:proofErr w:type="spellStart"/>
      <w:r w:rsidR="00020F24" w:rsidRPr="004F7E58">
        <w:rPr>
          <w:b/>
          <w:i w:val="0"/>
          <w:color w:val="C00000"/>
          <w:sz w:val="24"/>
        </w:rPr>
        <w:t>mandat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i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organizaciju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Ureda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za </w:t>
      </w:r>
      <w:proofErr w:type="spellStart"/>
      <w:r w:rsidR="00020F24" w:rsidRPr="004F7E58">
        <w:rPr>
          <w:b/>
          <w:i w:val="0"/>
          <w:color w:val="C00000"/>
          <w:sz w:val="24"/>
        </w:rPr>
        <w:t>reviziju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institucija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u FBiH </w:t>
      </w:r>
      <w:proofErr w:type="spellStart"/>
      <w:r w:rsidR="00020F24" w:rsidRPr="004F7E58">
        <w:rPr>
          <w:b/>
          <w:i w:val="0"/>
          <w:color w:val="C00000"/>
          <w:sz w:val="24"/>
        </w:rPr>
        <w:t>osigurati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ustavnim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i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zakonskim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okvirima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, </w:t>
      </w:r>
      <w:proofErr w:type="spellStart"/>
      <w:r w:rsidR="00020F24" w:rsidRPr="004F7E58">
        <w:rPr>
          <w:b/>
          <w:i w:val="0"/>
          <w:color w:val="C00000"/>
          <w:sz w:val="24"/>
        </w:rPr>
        <w:t>i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</w:t>
      </w:r>
      <w:proofErr w:type="spellStart"/>
      <w:r w:rsidR="00020F24" w:rsidRPr="004F7E58">
        <w:rPr>
          <w:b/>
          <w:i w:val="0"/>
          <w:color w:val="C00000"/>
          <w:sz w:val="24"/>
        </w:rPr>
        <w:t>poštivati</w:t>
      </w:r>
      <w:proofErr w:type="spellEnd"/>
      <w:r w:rsidR="00020F24" w:rsidRPr="004F7E58">
        <w:rPr>
          <w:b/>
          <w:i w:val="0"/>
          <w:color w:val="C00000"/>
          <w:sz w:val="24"/>
        </w:rPr>
        <w:t xml:space="preserve"> u </w:t>
      </w:r>
      <w:proofErr w:type="spellStart"/>
      <w:r w:rsidR="00020F24" w:rsidRPr="004F7E58">
        <w:rPr>
          <w:b/>
          <w:i w:val="0"/>
          <w:color w:val="C00000"/>
          <w:sz w:val="24"/>
        </w:rPr>
        <w:t>praksi</w:t>
      </w:r>
      <w:proofErr w:type="spellEnd"/>
    </w:p>
    <w:p w14:paraId="00041C3A" w14:textId="77777777" w:rsidR="00DD6650" w:rsidRPr="004F7E58" w:rsidRDefault="00DD6650" w:rsidP="00DD6650">
      <w:pPr>
        <w:rPr>
          <w:b/>
        </w:rPr>
      </w:pPr>
    </w:p>
    <w:p w14:paraId="38BB9D96" w14:textId="4AA478A6" w:rsidR="00DD6650" w:rsidRPr="004F7E58" w:rsidRDefault="00DD6650" w:rsidP="00DD665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A2D1B" w:rsidRPr="004F7E58" w14:paraId="3D387E7B" w14:textId="77777777" w:rsidTr="00DC7F97">
        <w:tc>
          <w:tcPr>
            <w:tcW w:w="9350" w:type="dxa"/>
          </w:tcPr>
          <w:p w14:paraId="5FC5AADB" w14:textId="77FC2563" w:rsidR="00EA2D1B" w:rsidRPr="004F7E58" w:rsidRDefault="00EA2D1B" w:rsidP="00FB30E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 xml:space="preserve">U izvještajnom periodu u okviru mjere </w:t>
            </w:r>
            <w:r w:rsidR="00FB30E7" w:rsidRPr="004F7E58">
              <w:rPr>
                <w:noProof/>
                <w:lang w:val="bs-Latn-BA"/>
              </w:rPr>
              <w:t>u toku su</w:t>
            </w:r>
            <w:r w:rsidRPr="004F7E58">
              <w:rPr>
                <w:noProof/>
                <w:lang w:val="bs-Latn-BA"/>
              </w:rPr>
              <w:t xml:space="preserve"> sve tri planirane aktivnosti. </w:t>
            </w:r>
          </w:p>
        </w:tc>
      </w:tr>
      <w:tr w:rsidR="00EA2D1B" w:rsidRPr="004F7E58" w14:paraId="63B70F07" w14:textId="77777777" w:rsidTr="00DC7F97">
        <w:tc>
          <w:tcPr>
            <w:tcW w:w="9350" w:type="dxa"/>
          </w:tcPr>
          <w:p w14:paraId="3B59163E" w14:textId="1197AD6D" w:rsidR="00EA2D1B" w:rsidRPr="004F7E58" w:rsidRDefault="00EA2D1B" w:rsidP="00590413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rPr>
                <w:noProof/>
                <w:lang w:val="bs-Latn-BA"/>
              </w:rPr>
              <w:t>Rok za realizaciju rezultata mjere još nije istekao za</w:t>
            </w:r>
            <w:r w:rsidR="00590413" w:rsidRPr="004F7E58">
              <w:rPr>
                <w:noProof/>
                <w:lang w:val="bs-Latn-BA"/>
              </w:rPr>
              <w:t xml:space="preserve"> oba</w:t>
            </w:r>
            <w:r w:rsidRPr="004F7E58">
              <w:rPr>
                <w:noProof/>
                <w:lang w:val="bs-Latn-BA"/>
              </w:rPr>
              <w:t xml:space="preserve"> rezultata</w:t>
            </w:r>
            <w:r w:rsidR="008C478F" w:rsidRPr="004F7E58">
              <w:rPr>
                <w:noProof/>
                <w:lang w:val="bs-Latn-BA"/>
              </w:rPr>
              <w:t xml:space="preserve">. </w:t>
            </w:r>
            <w:r w:rsidRPr="004F7E58">
              <w:rPr>
                <w:noProof/>
                <w:lang w:val="bs-Latn-BA"/>
              </w:rPr>
              <w:t xml:space="preserve"> </w:t>
            </w:r>
          </w:p>
        </w:tc>
      </w:tr>
    </w:tbl>
    <w:p w14:paraId="63BB8DBD" w14:textId="77777777" w:rsidR="00DD6650" w:rsidRPr="004F7E58" w:rsidRDefault="00DD6650" w:rsidP="00DD6650"/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3"/>
        <w:gridCol w:w="2762"/>
      </w:tblGrid>
      <w:tr w:rsidR="00DD6650" w:rsidRPr="004F7E58" w14:paraId="244E55E3" w14:textId="77777777" w:rsidTr="000701C7">
        <w:trPr>
          <w:cantSplit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650D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71F4" w14:textId="030CB2E6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307" w14:textId="6261F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6696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6696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DD6650" w:rsidRPr="004F7E58" w14:paraId="4399F35E" w14:textId="77777777" w:rsidTr="000701C7">
        <w:trPr>
          <w:cantSplit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9FFB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5B11" w14:textId="7B981D49" w:rsidR="00DD6650" w:rsidRPr="004F7E58" w:rsidRDefault="00991DB2" w:rsidP="000701C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VI.1.1 Podizati svijest i isticati važnosti uvrštavanja Ureda za reviziju institucija u FBiH u Ustav FBiH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E970D2" w14:textId="7468FE32" w:rsidR="00DD6650" w:rsidRPr="004F7E58" w:rsidRDefault="00991DB2" w:rsidP="00FB30E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DD6650" w:rsidRPr="004F7E58" w14:paraId="1AC59706" w14:textId="77777777" w:rsidTr="000701C7">
        <w:trPr>
          <w:cantSplit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3724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1952" w14:textId="376E0686" w:rsidR="00DD6650" w:rsidRPr="004F7E58" w:rsidRDefault="00991DB2" w:rsidP="000701C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VI.1.A Ured za reviziju institucija u FBiH uvršten je u Ustav FBiH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2564D" w14:textId="0E6EF9C9" w:rsidR="00DD6650" w:rsidRPr="004F7E58" w:rsidRDefault="00991DB2" w:rsidP="000701C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DD6650" w:rsidRPr="004F7E58" w14:paraId="5B01E00A" w14:textId="77777777" w:rsidTr="000701C7">
        <w:trPr>
          <w:cantSplit/>
        </w:trPr>
        <w:tc>
          <w:tcPr>
            <w:tcW w:w="370" w:type="dxa"/>
            <w:tcBorders>
              <w:top w:val="single" w:sz="4" w:space="0" w:color="auto"/>
            </w:tcBorders>
          </w:tcPr>
          <w:p w14:paraId="293F8CDC" w14:textId="77777777" w:rsidR="00DD6650" w:rsidRPr="004F7E58" w:rsidRDefault="00DD6650" w:rsidP="000701C7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9105" w:type="dxa"/>
            <w:gridSpan w:val="2"/>
            <w:tcBorders>
              <w:top w:val="single" w:sz="4" w:space="0" w:color="auto"/>
            </w:tcBorders>
          </w:tcPr>
          <w:p w14:paraId="674EF45F" w14:textId="24F6E7C1" w:rsidR="00DD6650" w:rsidRPr="004F7E58" w:rsidRDefault="005E4C17" w:rsidP="004F7E58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 xml:space="preserve">Tokom 2024. Ured je koristio sve mogućnosti za podizanje svijesti o važnosti nezavisnog Ureda (razne publikacije, medijski nastupi i sl.). </w:t>
            </w:r>
            <w:r w:rsidR="00AA6449" w:rsidRPr="004F7E58">
              <w:rPr>
                <w:lang w:val="bs-Latn-BA"/>
              </w:rPr>
              <w:t>Tokom 202</w:t>
            </w:r>
            <w:r w:rsidR="00061787" w:rsidRPr="004F7E58">
              <w:rPr>
                <w:lang w:val="bs-Latn-BA"/>
              </w:rPr>
              <w:t>4</w:t>
            </w:r>
            <w:r w:rsidR="00AA6449" w:rsidRPr="004F7E58">
              <w:rPr>
                <w:lang w:val="bs-Latn-BA"/>
              </w:rPr>
              <w:t>. na sjednicama KO su provođene diskusije o djelovanju Vlade F</w:t>
            </w:r>
            <w:r w:rsidR="008C478F" w:rsidRPr="004F7E58">
              <w:rPr>
                <w:lang w:val="bs-Latn-BA"/>
              </w:rPr>
              <w:t>B</w:t>
            </w:r>
            <w:r w:rsidR="00AA6449" w:rsidRPr="004F7E58">
              <w:rPr>
                <w:lang w:val="bs-Latn-BA"/>
              </w:rPr>
              <w:t xml:space="preserve">iH i parlamenta FBIH i o nezavisnosti Ureda. </w:t>
            </w:r>
          </w:p>
        </w:tc>
      </w:tr>
    </w:tbl>
    <w:p w14:paraId="71FCBF50" w14:textId="77777777" w:rsidR="00DD6650" w:rsidRPr="004F7E58" w:rsidRDefault="00DD6650" w:rsidP="00DD665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DD6650" w:rsidRPr="004F7E58" w14:paraId="26E90844" w14:textId="77777777" w:rsidTr="005672A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5E8C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55A" w14:textId="0E9B1E15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D2C8" w14:textId="20CAFC71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6696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6696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5672A7" w:rsidRPr="004F7E58" w14:paraId="68D885E6" w14:textId="77777777" w:rsidTr="005672A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E8BA" w14:textId="77777777" w:rsidR="005672A7" w:rsidRPr="004F7E58" w:rsidRDefault="005672A7" w:rsidP="005672A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011B" w14:textId="248C8AEB" w:rsidR="005672A7" w:rsidRPr="004F7E58" w:rsidRDefault="005672A7" w:rsidP="005672A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VI.1.2 Nastaviti sa strateškim naporima za uvrštavanje Ureda za reviziju u Ustav FBiH, upućivanjem inicijativa Ustavnim komisijama Parlamenta FBiH i Parlamentarnoj komisiji odgovornoj za reviziju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D2E6B56" w14:textId="1F0F624F" w:rsidR="005672A7" w:rsidRPr="004F7E58" w:rsidRDefault="005672A7" w:rsidP="00FB30E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C76582" w:rsidRPr="004F7E58" w14:paraId="3B1F299F" w14:textId="77777777" w:rsidTr="001E128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C995" w14:textId="77777777" w:rsidR="00C76582" w:rsidRPr="004F7E58" w:rsidRDefault="00C76582" w:rsidP="00C7658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2AB9" w14:textId="7941A2E4" w:rsidR="00C76582" w:rsidRPr="004F7E58" w:rsidRDefault="00590413" w:rsidP="00590413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 xml:space="preserve">Vidi </w:t>
            </w:r>
            <w:r w:rsidR="00C76582" w:rsidRPr="004F7E58">
              <w:rPr>
                <w:i/>
                <w:noProof/>
                <w:lang w:val="bs-Latn-BA"/>
              </w:rPr>
              <w:t xml:space="preserve">VI.1.A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AF3FD" w14:textId="64F2D3B4" w:rsidR="00C76582" w:rsidRPr="004F7E58" w:rsidRDefault="00590413" w:rsidP="00C76582">
            <w:pPr>
              <w:pStyle w:val="NormalPFM1"/>
              <w:keepNext/>
              <w:spacing w:before="40" w:after="40" w:line="240" w:lineRule="auto"/>
              <w:jc w:val="left"/>
              <w:rPr>
                <w:i/>
                <w:noProof/>
                <w:lang w:val="bs-Latn-BA"/>
              </w:rPr>
            </w:pPr>
            <w:r w:rsidRPr="004F7E58">
              <w:rPr>
                <w:i/>
                <w:noProof/>
                <w:lang w:val="bs-Latn-BA"/>
              </w:rPr>
              <w:t>Vidi VI.1.A</w:t>
            </w:r>
          </w:p>
        </w:tc>
      </w:tr>
      <w:tr w:rsidR="00FB30E7" w:rsidRPr="004F7E58" w14:paraId="7EB26D93" w14:textId="77777777" w:rsidTr="005672A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58C8437" w14:textId="77777777" w:rsidR="00FB30E7" w:rsidRPr="004F7E58" w:rsidRDefault="00FB30E7" w:rsidP="00FB30E7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482641AD" w14:textId="5833D937" w:rsidR="00FB30E7" w:rsidRPr="004F7E58" w:rsidRDefault="005E4C17" w:rsidP="004F7E58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Tokom 2024. godine imenovana je Parlamentarna komisija odgovorna za reviziju nakon određenog perioda neimenovanja, te Ured nije upućivao inicijative.</w:t>
            </w:r>
            <w:r w:rsidR="00E66966" w:rsidRPr="004F7E58">
              <w:rPr>
                <w:lang w:val="bs-Latn-BA"/>
              </w:rPr>
              <w:t xml:space="preserve"> </w:t>
            </w:r>
          </w:p>
        </w:tc>
      </w:tr>
    </w:tbl>
    <w:p w14:paraId="1E22978A" w14:textId="426D9C4F" w:rsidR="00DD6650" w:rsidRPr="004F7E58" w:rsidRDefault="00DD6650" w:rsidP="00DD6650">
      <w:pPr>
        <w:pStyle w:val="NormalPFM1"/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5672A7" w:rsidRPr="004F7E58" w14:paraId="5EDED26B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6E73" w14:textId="77777777" w:rsidR="005672A7" w:rsidRPr="004F7E58" w:rsidRDefault="005672A7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C69" w14:textId="77777777" w:rsidR="005672A7" w:rsidRPr="004F7E58" w:rsidRDefault="005672A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0F53" w14:textId="0DABF97E" w:rsidR="005672A7" w:rsidRPr="004F7E58" w:rsidRDefault="005672A7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6696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66966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5E1705" w:rsidRPr="004F7E58" w14:paraId="08A767C0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48F6" w14:textId="77777777" w:rsidR="005E1705" w:rsidRPr="004F7E58" w:rsidRDefault="005E1705" w:rsidP="005E17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C308" w14:textId="654DFBED" w:rsidR="005E1705" w:rsidRPr="004F7E58" w:rsidRDefault="005E1705" w:rsidP="005E17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VI.1.3 Poduzimati aktivnosti prema organima i institucijama izvršne vlasti i organima za provođenje zakona, na isticanju važnosti održavanja funkcionalne, operativne i finansijske nezavisnosti Ureda za reviziju institucija u FBiH u dijelu dosljedne primjene Zakona o reviziji (kao lex specialis zakona)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0C8F68E" w14:textId="1682CD5E" w:rsidR="005E1705" w:rsidRPr="004F7E58" w:rsidRDefault="005E1705" w:rsidP="00FB30E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5E1705" w:rsidRPr="004F7E58" w14:paraId="42EE5915" w14:textId="77777777" w:rsidTr="005E170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324" w14:textId="77777777" w:rsidR="005E1705" w:rsidRPr="004F7E58" w:rsidRDefault="005E1705" w:rsidP="005E17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D01" w14:textId="7FBB2BED" w:rsidR="005E1705" w:rsidRPr="004F7E58" w:rsidRDefault="005E1705" w:rsidP="005E170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VI.1.C Organizaciona, upravljačka i finansijska nezavisnost VRI održana (bez uplitanja u nezavisnost Ureda za reviziju)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3E0A7" w14:textId="49D1135D" w:rsidR="005E1705" w:rsidRPr="004F7E58" w:rsidRDefault="005E1705" w:rsidP="005E1705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5672A7" w:rsidRPr="004F7E58" w14:paraId="326D3A8A" w14:textId="77777777" w:rsidTr="007E3EA0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CDC628E" w14:textId="77777777" w:rsidR="005672A7" w:rsidRPr="004F7E58" w:rsidRDefault="005672A7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68FE4EA" w14:textId="77777777" w:rsidR="001D1C0F" w:rsidRPr="004F7E58" w:rsidRDefault="001D1C0F" w:rsidP="001D1C0F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U skladu sa Zakonom o reviziji institucija u FBiH, Godišnji plan revizija za 2024/2025. donio je generalni revizor, uz prethodnu konsultaciju sa zamjenikom generalnog revizora. Održani su sastanci sa nevladinim i međunarodnim organizacijama (npr. Svjetska banka) i drugim relevantnim učesnicima u vezi s nezavisnošću Ureda, donošenjem plana revizija učinka i sl. Ovim je ispoštovan Zakon o reviziji i očuvana je nezavisnost Ureda.</w:t>
            </w:r>
          </w:p>
          <w:p w14:paraId="3DBDB8F4" w14:textId="491A4F65" w:rsidR="00E66966" w:rsidRPr="004F7E58" w:rsidRDefault="001D1C0F" w:rsidP="00FB30E7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Ured je u toku 2024. godine kontinuirano istupao u medijima s ciljem informisanja šire javnosti o nadležnostima i ulozi koju ima, kao i o značaju održavanja nezavisnosti Ureda.</w:t>
            </w:r>
          </w:p>
        </w:tc>
      </w:tr>
    </w:tbl>
    <w:p w14:paraId="02126D8D" w14:textId="638C1196" w:rsidR="005672A7" w:rsidRPr="004F7E58" w:rsidRDefault="005672A7" w:rsidP="00DD6650">
      <w:pPr>
        <w:pStyle w:val="NormalPFM1"/>
        <w:rPr>
          <w:lang w:val="bs-Latn-BA"/>
        </w:rPr>
      </w:pPr>
    </w:p>
    <w:p w14:paraId="301C5BC8" w14:textId="238EF97C" w:rsidR="00DD6650" w:rsidRPr="004F7E58" w:rsidRDefault="00DD6650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t xml:space="preserve">Mjera: VI.2. </w:t>
      </w:r>
      <w:r w:rsidR="00092D64" w:rsidRPr="004F7E58">
        <w:rPr>
          <w:b/>
          <w:i w:val="0"/>
          <w:color w:val="C00000"/>
          <w:sz w:val="24"/>
          <w:lang w:val="bs-Latn-BA"/>
        </w:rPr>
        <w:t>Jačati institucionalne kapacitete Ureda za reviziju institucija u FBiH kako bi se osiguralo provođenje revizije u skladu sa INTOSAI-jevim  Okvirom profesionalnih objava i veća pokrivenost subjekata iz nadležnosti.</w:t>
      </w:r>
    </w:p>
    <w:p w14:paraId="4AF9C88B" w14:textId="77777777" w:rsidR="00DD6650" w:rsidRPr="004F7E58" w:rsidRDefault="00DD6650" w:rsidP="00DD6650">
      <w:pPr>
        <w:rPr>
          <w:b/>
          <w:lang w:val="bs-Latn-BA"/>
        </w:rPr>
      </w:pPr>
    </w:p>
    <w:p w14:paraId="6B8F61DF" w14:textId="5E2235D7" w:rsidR="00DD6650" w:rsidRPr="004F7E58" w:rsidRDefault="00DD6650" w:rsidP="00DD665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</w:t>
      </w:r>
      <w:r w:rsidR="00EA2D1B" w:rsidRPr="004F7E58">
        <w:rPr>
          <w:b/>
        </w:rPr>
        <w:t>j</w:t>
      </w:r>
      <w:r w:rsidRPr="004F7E58">
        <w:rPr>
          <w:b/>
        </w:rPr>
        <w:t>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B30E7" w:rsidRPr="004F7E58" w14:paraId="4D78EACE" w14:textId="77777777" w:rsidTr="00DC7F97">
        <w:tc>
          <w:tcPr>
            <w:tcW w:w="9350" w:type="dxa"/>
          </w:tcPr>
          <w:p w14:paraId="5FDA1C34" w14:textId="0E44B5A3" w:rsidR="00FB30E7" w:rsidRPr="004F7E58" w:rsidRDefault="00FB30E7" w:rsidP="00FB30E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t xml:space="preserve">U </w:t>
            </w:r>
            <w:proofErr w:type="spellStart"/>
            <w:r w:rsidRPr="004F7E58">
              <w:t>izvještajnom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periodu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okviru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bile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toku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obje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aktivnosti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započete</w:t>
            </w:r>
            <w:proofErr w:type="spellEnd"/>
            <w:r w:rsidRPr="004F7E58">
              <w:t xml:space="preserve"> u 2021. </w:t>
            </w:r>
            <w:proofErr w:type="spellStart"/>
            <w:r w:rsidRPr="004F7E58">
              <w:t>godini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koje</w:t>
            </w:r>
            <w:proofErr w:type="spellEnd"/>
            <w:r w:rsidRPr="004F7E58">
              <w:t xml:space="preserve"> se </w:t>
            </w:r>
            <w:proofErr w:type="spellStart"/>
            <w:r w:rsidRPr="004F7E58">
              <w:t>odnose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na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jačanje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kadrovskih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</w:t>
            </w:r>
            <w:proofErr w:type="spellEnd"/>
            <w:r w:rsidRPr="004F7E58">
              <w:t xml:space="preserve"> IT </w:t>
            </w:r>
            <w:proofErr w:type="spellStart"/>
            <w:r w:rsidRPr="004F7E58">
              <w:t>resursa</w:t>
            </w:r>
            <w:proofErr w:type="spellEnd"/>
            <w:r w:rsidRPr="004F7E58">
              <w:t xml:space="preserve">. </w:t>
            </w:r>
          </w:p>
        </w:tc>
      </w:tr>
      <w:tr w:rsidR="00FB30E7" w:rsidRPr="004F7E58" w14:paraId="260770A7" w14:textId="77777777" w:rsidTr="00DC7F97">
        <w:tc>
          <w:tcPr>
            <w:tcW w:w="9350" w:type="dxa"/>
          </w:tcPr>
          <w:p w14:paraId="32D4BA9A" w14:textId="37419193" w:rsidR="00FB30E7" w:rsidRPr="004F7E58" w:rsidRDefault="00B32044" w:rsidP="00FB30E7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proofErr w:type="spellStart"/>
            <w:r w:rsidRPr="004F7E58">
              <w:rPr>
                <w:lang w:val="fr-FR"/>
              </w:rPr>
              <w:t>Sva</w:t>
            </w:r>
            <w:proofErr w:type="spellEnd"/>
            <w:r w:rsidRPr="004F7E58">
              <w:rPr>
                <w:lang w:val="fr-FR"/>
              </w:rPr>
              <w:t xml:space="preserve"> tri </w:t>
            </w:r>
            <w:proofErr w:type="spellStart"/>
            <w:r w:rsidRPr="004F7E58">
              <w:rPr>
                <w:lang w:val="fr-FR"/>
              </w:rPr>
              <w:t>rezultata</w:t>
            </w:r>
            <w:proofErr w:type="spellEnd"/>
            <w:r w:rsidR="00FB30E7" w:rsidRPr="004F7E58">
              <w:rPr>
                <w:lang w:val="fr-FR"/>
              </w:rPr>
              <w:t xml:space="preserve"> </w:t>
            </w:r>
            <w:proofErr w:type="spellStart"/>
            <w:r w:rsidR="00FB30E7" w:rsidRPr="004F7E58">
              <w:rPr>
                <w:lang w:val="fr-FR"/>
              </w:rPr>
              <w:t>mjere</w:t>
            </w:r>
            <w:proofErr w:type="spellEnd"/>
            <w:r w:rsidR="00FB30E7" w:rsidRPr="004F7E58">
              <w:rPr>
                <w:lang w:val="fr-FR"/>
              </w:rPr>
              <w:t xml:space="preserve"> </w:t>
            </w:r>
            <w:r w:rsidRPr="004F7E58">
              <w:rPr>
                <w:lang w:val="fr-FR"/>
              </w:rPr>
              <w:t xml:space="preserve">su </w:t>
            </w:r>
            <w:proofErr w:type="spellStart"/>
            <w:r w:rsidRPr="004F7E58">
              <w:rPr>
                <w:lang w:val="fr-FR"/>
              </w:rPr>
              <w:t>djelimično</w:t>
            </w:r>
            <w:proofErr w:type="spellEnd"/>
            <w:r w:rsidRPr="004F7E58">
              <w:rPr>
                <w:lang w:val="fr-FR"/>
              </w:rPr>
              <w:t xml:space="preserve"> </w:t>
            </w:r>
            <w:proofErr w:type="spellStart"/>
            <w:r w:rsidRPr="004F7E58">
              <w:rPr>
                <w:lang w:val="fr-FR"/>
              </w:rPr>
              <w:t>postignuti</w:t>
            </w:r>
            <w:proofErr w:type="spellEnd"/>
            <w:r w:rsidRPr="004F7E58">
              <w:rPr>
                <w:lang w:val="fr-FR"/>
              </w:rPr>
              <w:t xml:space="preserve">. </w:t>
            </w:r>
            <w:r w:rsidR="00FB30E7" w:rsidRPr="004F7E58">
              <w:rPr>
                <w:lang w:val="fr-FR"/>
              </w:rPr>
              <w:t xml:space="preserve"> </w:t>
            </w:r>
          </w:p>
        </w:tc>
      </w:tr>
    </w:tbl>
    <w:p w14:paraId="26648DFB" w14:textId="77777777" w:rsidR="00DD6650" w:rsidRPr="004F7E58" w:rsidRDefault="00DD6650" w:rsidP="00DD665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5"/>
        <w:gridCol w:w="2760"/>
      </w:tblGrid>
      <w:tr w:rsidR="00DD6650" w:rsidRPr="004F7E58" w14:paraId="48AB44A0" w14:textId="77777777" w:rsidTr="00FA03B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C2C1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67A" w14:textId="2B0748D1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F148" w14:textId="7B573A05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D638F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D638F5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DD6650" w:rsidRPr="004F7E58" w14:paraId="2816A2C3" w14:textId="77777777" w:rsidTr="00FA03B2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967F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751" w14:textId="3CC275A2" w:rsidR="00DD6650" w:rsidRPr="004F7E58" w:rsidRDefault="00E55C49" w:rsidP="000701C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VI.2.1 Jačanje institucionalnih kapaciteta Ureda za reviziju institucija u FBiH u oblasti ljudskih resursa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59E799" w14:textId="7DF46745" w:rsidR="00DD6650" w:rsidRPr="004F7E58" w:rsidRDefault="00E55C49" w:rsidP="00D845D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B32044" w:rsidRPr="004F7E58" w14:paraId="36D598C0" w14:textId="77777777" w:rsidTr="00B3204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5F0" w14:textId="77777777" w:rsidR="00B32044" w:rsidRPr="004F7E58" w:rsidRDefault="00B32044" w:rsidP="00B3204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C86" w14:textId="6A189B70" w:rsidR="00B32044" w:rsidRPr="004F7E58" w:rsidRDefault="00B32044" w:rsidP="00B32044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VI.2.A Povećan broj osoblja sa novim kompetencijama i vještinama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B99D55" w14:textId="6D65706A" w:rsidR="00B32044" w:rsidRPr="004F7E58" w:rsidRDefault="00B32044" w:rsidP="00B3204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FA03B2" w:rsidRPr="004F7E58" w14:paraId="59AE4088" w14:textId="77777777" w:rsidTr="00CD69F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7D65" w14:textId="77777777" w:rsidR="00FA03B2" w:rsidRPr="004F7E58" w:rsidRDefault="00FA03B2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48D6" w14:textId="43CB0973" w:rsidR="00FA03B2" w:rsidRPr="004F7E58" w:rsidRDefault="00E55C49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VI.2.B Ostvarivanje mandata vanjske revizije - povećanje obima finansijskih revizija i revizij</w:t>
            </w:r>
            <w:r w:rsidR="00CD69FA" w:rsidRPr="004F7E58">
              <w:rPr>
                <w:noProof/>
                <w:lang w:val="bs-Latn-BA"/>
              </w:rPr>
              <w:t>a</w:t>
            </w:r>
            <w:r w:rsidRPr="004F7E58">
              <w:rPr>
                <w:noProof/>
                <w:lang w:val="bs-Latn-BA"/>
              </w:rPr>
              <w:t xml:space="preserve"> učinka iz nadležnosti VRI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DEFF59C" w14:textId="1C2890B1" w:rsidR="00FA03B2" w:rsidRPr="004F7E58" w:rsidRDefault="00CD69FA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D845D4" w:rsidRPr="004F7E58" w14:paraId="7C55A40C" w14:textId="77777777" w:rsidTr="00FA03B2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B51D38B" w14:textId="77777777" w:rsidR="00D845D4" w:rsidRPr="004F7E58" w:rsidRDefault="00D845D4" w:rsidP="00D845D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192F440" w14:textId="77777777" w:rsidR="00734854" w:rsidRPr="004F7E58" w:rsidRDefault="00734854" w:rsidP="00734854">
            <w:pPr>
              <w:pStyle w:val="NormalPFM1"/>
              <w:widowControl w:val="0"/>
              <w:rPr>
                <w:b/>
                <w:bCs/>
                <w:lang w:val="bs-Latn-BA"/>
              </w:rPr>
            </w:pPr>
            <w:r w:rsidRPr="004F7E58">
              <w:rPr>
                <w:b/>
                <w:bCs/>
                <w:lang w:val="bs-Latn-BA"/>
              </w:rPr>
              <w:t xml:space="preserve">Za dva rezultata mjere iznad, podaktivnosti za 2024. godinu su: </w:t>
            </w:r>
          </w:p>
          <w:p w14:paraId="4DB0E536" w14:textId="77777777" w:rsidR="00734854" w:rsidRPr="004F7E58" w:rsidRDefault="00734854" w:rsidP="00734854">
            <w:pPr>
              <w:pStyle w:val="NormalPFM1"/>
              <w:widowControl w:val="0"/>
              <w:numPr>
                <w:ilvl w:val="0"/>
                <w:numId w:val="33"/>
              </w:numPr>
              <w:rPr>
                <w:b/>
                <w:bCs/>
                <w:lang w:val="bs-Latn-BA"/>
              </w:rPr>
            </w:pPr>
            <w:r w:rsidRPr="004F7E58">
              <w:rPr>
                <w:b/>
                <w:bCs/>
                <w:lang w:val="bs-Latn-BA"/>
              </w:rPr>
              <w:t xml:space="preserve">djelimično postignute s obzirom na to da su na 31. 12. 2024. zaposlena 84, a planom je bilo predviđeno 100 zaposlenika; </w:t>
            </w:r>
          </w:p>
          <w:p w14:paraId="165617AB" w14:textId="77777777" w:rsidR="00734854" w:rsidRPr="004F7E58" w:rsidRDefault="00734854" w:rsidP="00734854">
            <w:pPr>
              <w:pStyle w:val="NormalPFM1"/>
              <w:widowControl w:val="0"/>
              <w:numPr>
                <w:ilvl w:val="0"/>
                <w:numId w:val="33"/>
              </w:numPr>
              <w:rPr>
                <w:b/>
                <w:bCs/>
                <w:lang w:val="bs-Latn-BA"/>
              </w:rPr>
            </w:pPr>
            <w:r w:rsidRPr="004F7E58">
              <w:rPr>
                <w:b/>
                <w:bCs/>
                <w:lang w:val="bs-Latn-BA"/>
              </w:rPr>
              <w:t>za 2024. godinu podaktivnost za ciljani broj revizija je potpuno postignut.</w:t>
            </w:r>
          </w:p>
          <w:p w14:paraId="7FD6C6CC" w14:textId="77777777" w:rsidR="00734854" w:rsidRPr="004F7E58" w:rsidRDefault="00734854" w:rsidP="00734854">
            <w:pPr>
              <w:pStyle w:val="NormalPFM1"/>
              <w:widowControl w:val="0"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Doneseni su DOB i Strategija razvoja 2021–2025. koji uključuju elemente razvoja kadra Ureda. </w:t>
            </w:r>
          </w:p>
          <w:p w14:paraId="6D956B7B" w14:textId="77777777" w:rsidR="00734854" w:rsidRPr="004F7E58" w:rsidRDefault="00734854" w:rsidP="00734854">
            <w:pPr>
              <w:pStyle w:val="NormalPFM1"/>
              <w:widowControl w:val="0"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Sa 31. 12. 2024. godine, pored generalnog revizora i zamjenika generalnog revizora, bilo je 84 zaposlenika, što je više odnosu na 2022. godinu, ali nedovoljno da bi ciljna vrijednost (100) bila postignuta. Ured se suočava s izazovima prilikom zapošljavanja stručnog kadra s obzirom na to da veliki broj kandidata ne ispunjava kriterije u pogledu adekvatnih certifikata (ovlašteni revizori, IT revizori) i radnog iskustva. Nedostaje i kadra s posebnim vještinama i kompetencijama za rad u reviziji učinka. Ured je u više navrata raspisivao konkurs s ciljem prijema osoblja. </w:t>
            </w:r>
          </w:p>
          <w:p w14:paraId="184932C4" w14:textId="77777777" w:rsidR="00734854" w:rsidRPr="004F7E58" w:rsidRDefault="00734854" w:rsidP="00734854">
            <w:pPr>
              <w:pStyle w:val="NormalPFM1"/>
              <w:widowControl w:val="0"/>
              <w:rPr>
                <w:lang w:val="bs-Latn-BA"/>
              </w:rPr>
            </w:pPr>
            <w:r w:rsidRPr="004F7E58">
              <w:rPr>
                <w:lang w:val="bs-Latn-BA"/>
              </w:rPr>
              <w:t>Ured za reviziju kontinuirano organizuje interne edukacije zaposlenika i omogućava eksternu edukaciju shodno strateškim opredjeljenjima i iskazanim potrebama, usmjerene na povećanje profesionalnih kompetencija i vještina. U 2024. godini održani su sastanci/interne obuke revizora, kao i druge interne radionice u vezi s primjenom INTOSAI-jevog Okvira profesionalnih objava te je osigurano prisustvo seminarima.</w:t>
            </w:r>
          </w:p>
          <w:p w14:paraId="4B2D3E07" w14:textId="77777777" w:rsidR="00734854" w:rsidRPr="004F7E58" w:rsidRDefault="00734854" w:rsidP="00734854">
            <w:pPr>
              <w:pStyle w:val="NormalPFM1"/>
              <w:widowControl w:val="0"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Predstavnici Ureda za reviziju (menadžment i revizorsko osoblje) učestvovali su i na brojnim domaćim, regionalnim i međunarodnim radionicama i sastancima. </w:t>
            </w:r>
          </w:p>
          <w:p w14:paraId="02907E9B" w14:textId="344220EE" w:rsidR="00D845D4" w:rsidRPr="004F7E58" w:rsidRDefault="00734854" w:rsidP="00B32044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Sve planirane revizije za 2024. godinu su okončane, i to ukupno 130 objavljenih revizija, dok je Strategijom ciljna vrijednost bila 123.</w:t>
            </w:r>
          </w:p>
        </w:tc>
      </w:tr>
    </w:tbl>
    <w:p w14:paraId="7C8352D9" w14:textId="77777777" w:rsidR="00DD6650" w:rsidRPr="004F7E58" w:rsidRDefault="00DD6650" w:rsidP="00DD6650">
      <w:pPr>
        <w:rPr>
          <w:lang w:val="bs-Latn-BA"/>
        </w:rPr>
      </w:pPr>
    </w:p>
    <w:tbl>
      <w:tblPr>
        <w:tblStyle w:val="TableGrid"/>
        <w:tblW w:w="9475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DD6650" w:rsidRPr="004F7E58" w14:paraId="268D0814" w14:textId="77777777" w:rsidTr="00F5286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54BA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5431" w14:textId="65A0441A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8F81" w14:textId="03923992" w:rsidR="00DD6650" w:rsidRPr="004F7E58" w:rsidRDefault="00DD6650" w:rsidP="006E03EC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197463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 xml:space="preserve"> / Ostvarenje u 20</w:t>
            </w:r>
            <w:r w:rsidR="006E03EC" w:rsidRPr="004F7E58">
              <w:rPr>
                <w:b/>
                <w:noProof/>
                <w:lang w:val="bs-Latn-BA"/>
              </w:rPr>
              <w:t>2</w:t>
            </w:r>
            <w:r w:rsidR="00197463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F52867" w:rsidRPr="004F7E58" w14:paraId="77BC8674" w14:textId="77777777" w:rsidTr="00F5286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44C" w14:textId="77777777" w:rsidR="00F52867" w:rsidRPr="004F7E58" w:rsidRDefault="00F52867" w:rsidP="00F5286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7099" w14:textId="2D09B76A" w:rsidR="00F52867" w:rsidRPr="004F7E58" w:rsidRDefault="00F52867" w:rsidP="00F5286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VI.2.2 Jačanje  institucionalnih kapaciteta Ureda za reviziju institucija u FBiH u oblasti informacionih tehnologija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AC5EC5" w14:textId="19BD8BE7" w:rsidR="00F52867" w:rsidRPr="004F7E58" w:rsidRDefault="00F52867" w:rsidP="00D845D4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410FF2" w:rsidRPr="004F7E58" w14:paraId="38B5D7C5" w14:textId="77777777" w:rsidTr="001E1285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6A5" w14:textId="77777777" w:rsidR="00410FF2" w:rsidRPr="004F7E58" w:rsidRDefault="00410FF2" w:rsidP="00410FF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DE00" w14:textId="3932175C" w:rsidR="00410FF2" w:rsidRPr="004F7E58" w:rsidRDefault="001E1285" w:rsidP="001E128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VI.2.C </w:t>
            </w:r>
            <w:r w:rsidR="00410FF2" w:rsidRPr="004F7E58">
              <w:rPr>
                <w:noProof/>
                <w:lang w:val="bs-Latn-BA"/>
              </w:rPr>
              <w:t xml:space="preserve">Softver za podršku procesu revizije (AMS) u upotrebi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F97978" w14:textId="50AE2D89" w:rsidR="00410FF2" w:rsidRPr="004F7E58" w:rsidRDefault="00410FF2" w:rsidP="00410FF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D845D4" w:rsidRPr="004F7E58" w14:paraId="02821E5B" w14:textId="77777777" w:rsidTr="00F52867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33237F0D" w14:textId="77777777" w:rsidR="00D845D4" w:rsidRPr="004F7E58" w:rsidRDefault="00D845D4" w:rsidP="00D845D4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1DB34C48" w14:textId="67B7DA89" w:rsidR="00B32044" w:rsidRPr="004F7E58" w:rsidRDefault="00D845D4" w:rsidP="004F7E58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Projektni prijedlog za specijalizirani softver za obavljanje revizije u VRI sastavljen</w:t>
            </w:r>
            <w:r w:rsidR="00734854" w:rsidRPr="004F7E58">
              <w:rPr>
                <w:lang w:val="bs-Latn-BA"/>
              </w:rPr>
              <w:t xml:space="preserve"> u prethodnom periodu i provedena je međunarodna nabavka usluga razvoja od Delegacije EU. Potpisan je ugovor sa izabranim ponuđačem čija realizacija je započeta u 2024. godini. Rok za realizaciju zavisi od rokova definisanih tenderskom dokumentacijom, i ovom nabavkom upravlja EU delegacija.</w:t>
            </w:r>
          </w:p>
        </w:tc>
      </w:tr>
    </w:tbl>
    <w:p w14:paraId="54D34560" w14:textId="77777777" w:rsidR="00DD6650" w:rsidRPr="004F7E58" w:rsidRDefault="00DD6650" w:rsidP="00DD6650">
      <w:pPr>
        <w:pStyle w:val="NormalPFM1"/>
        <w:rPr>
          <w:lang w:val="bs-Latn-BA"/>
        </w:rPr>
      </w:pPr>
    </w:p>
    <w:p w14:paraId="4819562F" w14:textId="178E9456" w:rsidR="00DD6650" w:rsidRPr="004F7E58" w:rsidRDefault="00DD6650" w:rsidP="002371EF">
      <w:pPr>
        <w:pStyle w:val="Heading4"/>
        <w:numPr>
          <w:ilvl w:val="3"/>
          <w:numId w:val="31"/>
        </w:numPr>
        <w:ind w:left="0" w:firstLine="0"/>
        <w:rPr>
          <w:b/>
          <w:i w:val="0"/>
          <w:color w:val="C00000"/>
          <w:sz w:val="24"/>
          <w:lang w:val="bs-Latn-BA"/>
        </w:rPr>
      </w:pPr>
      <w:r w:rsidRPr="004F7E58">
        <w:rPr>
          <w:b/>
          <w:i w:val="0"/>
          <w:color w:val="C00000"/>
          <w:sz w:val="24"/>
          <w:lang w:val="bs-Latn-BA"/>
        </w:rPr>
        <w:lastRenderedPageBreak/>
        <w:t xml:space="preserve">MJERA: VI.3. </w:t>
      </w:r>
      <w:r w:rsidR="00F52867" w:rsidRPr="004F7E58">
        <w:rPr>
          <w:b/>
          <w:i w:val="0"/>
          <w:color w:val="C00000"/>
          <w:sz w:val="24"/>
          <w:lang w:val="bs-Latn-BA"/>
        </w:rPr>
        <w:t>Primjena INTOSAI Okvira profesionalnih objava, s ciljem osiguranja visokokvalitetnih revizija koje doprinose poboljšanju upravljanja javnim finansijama</w:t>
      </w:r>
    </w:p>
    <w:p w14:paraId="0F0C1F8B" w14:textId="77777777" w:rsidR="00DD6650" w:rsidRPr="004F7E58" w:rsidRDefault="00DD6650" w:rsidP="00DD6650">
      <w:pPr>
        <w:rPr>
          <w:b/>
          <w:lang w:val="bs-Latn-BA"/>
        </w:rPr>
      </w:pPr>
    </w:p>
    <w:p w14:paraId="5F22E27F" w14:textId="79A004B8" w:rsidR="00DD6650" w:rsidRPr="004F7E58" w:rsidRDefault="00DD6650" w:rsidP="00DD6650">
      <w:pPr>
        <w:rPr>
          <w:b/>
        </w:rPr>
      </w:pPr>
      <w:proofErr w:type="spellStart"/>
      <w:r w:rsidRPr="004F7E58">
        <w:rPr>
          <w:b/>
        </w:rPr>
        <w:t>Pregled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aktivnosti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i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rezultata</w:t>
      </w:r>
      <w:proofErr w:type="spellEnd"/>
      <w:r w:rsidRPr="004F7E58">
        <w:rPr>
          <w:b/>
        </w:rPr>
        <w:t xml:space="preserve"> u </w:t>
      </w:r>
      <w:proofErr w:type="spellStart"/>
      <w:r w:rsidRPr="004F7E58">
        <w:rPr>
          <w:b/>
        </w:rPr>
        <w:t>okviru</w:t>
      </w:r>
      <w:proofErr w:type="spellEnd"/>
      <w:r w:rsidRPr="004F7E58">
        <w:rPr>
          <w:b/>
        </w:rPr>
        <w:t xml:space="preserve"> </w:t>
      </w:r>
      <w:proofErr w:type="spellStart"/>
      <w:r w:rsidRPr="004F7E58">
        <w:rPr>
          <w:b/>
        </w:rPr>
        <w:t>mjere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16BFF" w:rsidRPr="004F7E58" w14:paraId="44050E90" w14:textId="77777777" w:rsidTr="00DC7F97">
        <w:tc>
          <w:tcPr>
            <w:tcW w:w="9350" w:type="dxa"/>
          </w:tcPr>
          <w:p w14:paraId="14560B88" w14:textId="49BA8F9D" w:rsidR="00C16BFF" w:rsidRPr="004F7E58" w:rsidRDefault="00C16BFF" w:rsidP="004F7E5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t xml:space="preserve">U </w:t>
            </w:r>
            <w:proofErr w:type="spellStart"/>
            <w:r w:rsidRPr="004F7E58">
              <w:t>izvještajnom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periodu</w:t>
            </w:r>
            <w:proofErr w:type="spellEnd"/>
            <w:r w:rsidRPr="004F7E58">
              <w:t xml:space="preserve"> u </w:t>
            </w:r>
            <w:proofErr w:type="spellStart"/>
            <w:r w:rsidRPr="004F7E58">
              <w:t>okviru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su</w:t>
            </w:r>
            <w:proofErr w:type="spellEnd"/>
            <w:r w:rsidRPr="004F7E58">
              <w:t xml:space="preserve"> </w:t>
            </w:r>
            <w:r w:rsidR="00734854" w:rsidRPr="004F7E58">
              <w:t xml:space="preserve">po </w:t>
            </w:r>
            <w:proofErr w:type="spellStart"/>
            <w:r w:rsidR="00734854" w:rsidRPr="004F7E58">
              <w:t>planu</w:t>
            </w:r>
            <w:proofErr w:type="spellEnd"/>
            <w:r w:rsidR="00734854" w:rsidRPr="004F7E58">
              <w:t xml:space="preserve"> </w:t>
            </w:r>
            <w:r w:rsidRPr="004F7E58">
              <w:t xml:space="preserve">u </w:t>
            </w:r>
            <w:proofErr w:type="spellStart"/>
            <w:r w:rsidRPr="004F7E58">
              <w:t>toku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četiri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aktivnosti</w:t>
            </w:r>
            <w:proofErr w:type="spellEnd"/>
            <w:r w:rsidR="000C2E26" w:rsidRPr="004F7E58">
              <w:t xml:space="preserve">, s </w:t>
            </w:r>
            <w:proofErr w:type="spellStart"/>
            <w:r w:rsidR="000C2E26" w:rsidRPr="004F7E58">
              <w:t>tim</w:t>
            </w:r>
            <w:proofErr w:type="spellEnd"/>
            <w:r w:rsidR="000C2E26" w:rsidRPr="004F7E58">
              <w:t xml:space="preserve"> da </w:t>
            </w:r>
            <w:proofErr w:type="spellStart"/>
            <w:r w:rsidR="000C2E26" w:rsidRPr="004F7E58">
              <w:t>konačni</w:t>
            </w:r>
            <w:proofErr w:type="spellEnd"/>
            <w:r w:rsidR="000C2E26" w:rsidRPr="004F7E58">
              <w:t xml:space="preserve"> </w:t>
            </w:r>
            <w:proofErr w:type="spellStart"/>
            <w:r w:rsidR="000C2E26" w:rsidRPr="004F7E58">
              <w:t>rok</w:t>
            </w:r>
            <w:proofErr w:type="spellEnd"/>
            <w:r w:rsidR="000C2E26" w:rsidRPr="004F7E58">
              <w:t xml:space="preserve"> </w:t>
            </w:r>
            <w:proofErr w:type="spellStart"/>
            <w:r w:rsidR="000C2E26" w:rsidRPr="004F7E58">
              <w:t>nije</w:t>
            </w:r>
            <w:proofErr w:type="spellEnd"/>
            <w:r w:rsidR="000C2E26" w:rsidRPr="004F7E58">
              <w:t xml:space="preserve"> </w:t>
            </w:r>
            <w:proofErr w:type="spellStart"/>
            <w:r w:rsidR="000C2E26" w:rsidRPr="004F7E58">
              <w:t>istekao</w:t>
            </w:r>
            <w:proofErr w:type="spellEnd"/>
            <w:r w:rsidR="000C2E26" w:rsidRPr="004F7E58">
              <w:t xml:space="preserve"> </w:t>
            </w:r>
            <w:proofErr w:type="spellStart"/>
            <w:r w:rsidR="000C2E26" w:rsidRPr="004F7E58">
              <w:t>ni</w:t>
            </w:r>
            <w:proofErr w:type="spellEnd"/>
            <w:r w:rsidR="000C2E26" w:rsidRPr="004F7E58">
              <w:t xml:space="preserve"> za </w:t>
            </w:r>
            <w:proofErr w:type="spellStart"/>
            <w:r w:rsidR="000C2E26" w:rsidRPr="004F7E58">
              <w:t>jednu</w:t>
            </w:r>
            <w:proofErr w:type="spellEnd"/>
            <w:r w:rsidRPr="004F7E58">
              <w:t xml:space="preserve">.  </w:t>
            </w:r>
          </w:p>
        </w:tc>
      </w:tr>
      <w:tr w:rsidR="00C16BFF" w:rsidRPr="004F7E58" w14:paraId="2795A515" w14:textId="77777777" w:rsidTr="00DC7F97">
        <w:tc>
          <w:tcPr>
            <w:tcW w:w="9350" w:type="dxa"/>
          </w:tcPr>
          <w:p w14:paraId="110C7FF5" w14:textId="7316C641" w:rsidR="00C16BFF" w:rsidRPr="004F7E58" w:rsidRDefault="00C16BFF" w:rsidP="004F7E58">
            <w:pPr>
              <w:pStyle w:val="NormalPFM1"/>
              <w:numPr>
                <w:ilvl w:val="0"/>
                <w:numId w:val="29"/>
              </w:numPr>
              <w:spacing w:before="0" w:after="0"/>
              <w:rPr>
                <w:noProof/>
                <w:lang w:val="bs-Latn-BA" w:eastAsia="en-US"/>
              </w:rPr>
            </w:pPr>
            <w:r w:rsidRPr="004F7E58">
              <w:t xml:space="preserve">Za </w:t>
            </w:r>
            <w:proofErr w:type="spellStart"/>
            <w:r w:rsidRPr="004F7E58">
              <w:t>dva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rezultata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rok</w:t>
            </w:r>
            <w:proofErr w:type="spellEnd"/>
            <w:r w:rsidRPr="004F7E58">
              <w:t xml:space="preserve"> za </w:t>
            </w:r>
            <w:proofErr w:type="spellStart"/>
            <w:r w:rsidRPr="004F7E58">
              <w:t>realizaciju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još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nije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istekao</w:t>
            </w:r>
            <w:proofErr w:type="spellEnd"/>
            <w:r w:rsidRPr="004F7E58">
              <w:t xml:space="preserve"> (</w:t>
            </w:r>
            <w:proofErr w:type="spellStart"/>
            <w:r w:rsidRPr="004F7E58">
              <w:t>usaglašavanje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sa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Okvirom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profesionalnih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objava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INTOSAI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praćenje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preporuka</w:t>
            </w:r>
            <w:proofErr w:type="spellEnd"/>
            <w:r w:rsidRPr="004F7E58">
              <w:t xml:space="preserve">). </w:t>
            </w:r>
            <w:proofErr w:type="spellStart"/>
            <w:r w:rsidR="00072A80" w:rsidRPr="004F7E58">
              <w:t>Dva</w:t>
            </w:r>
            <w:proofErr w:type="spellEnd"/>
            <w:r w:rsidR="00072A80" w:rsidRPr="004F7E58">
              <w:t xml:space="preserve"> </w:t>
            </w:r>
            <w:proofErr w:type="spellStart"/>
            <w:r w:rsidRPr="004F7E58">
              <w:t>rezultat</w:t>
            </w:r>
            <w:r w:rsidR="00072A80" w:rsidRPr="004F7E58">
              <w:t>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mjere</w:t>
            </w:r>
            <w:proofErr w:type="spellEnd"/>
            <w:r w:rsidRPr="004F7E58">
              <w:t xml:space="preserve"> (</w:t>
            </w:r>
            <w:proofErr w:type="spellStart"/>
            <w:r w:rsidRPr="004F7E58">
              <w:t>kontrola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kvaliteta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i</w:t>
            </w:r>
            <w:proofErr w:type="spellEnd"/>
            <w:r w:rsidRPr="004F7E58">
              <w:t xml:space="preserve"> </w:t>
            </w:r>
            <w:proofErr w:type="spellStart"/>
            <w:r w:rsidRPr="004F7E58">
              <w:t>komunikacije</w:t>
            </w:r>
            <w:proofErr w:type="spellEnd"/>
            <w:r w:rsidRPr="004F7E58">
              <w:t>)</w:t>
            </w:r>
            <w:r w:rsidR="00072A80" w:rsidRPr="004F7E58">
              <w:t xml:space="preserve"> </w:t>
            </w:r>
            <w:proofErr w:type="spellStart"/>
            <w:r w:rsidR="00072A80" w:rsidRPr="004F7E58">
              <w:t>su</w:t>
            </w:r>
            <w:proofErr w:type="spellEnd"/>
            <w:r w:rsidR="00072A80" w:rsidRPr="004F7E58">
              <w:t xml:space="preserve"> </w:t>
            </w:r>
            <w:proofErr w:type="spellStart"/>
            <w:r w:rsidR="00072A80" w:rsidRPr="004F7E58">
              <w:t>djelomično</w:t>
            </w:r>
            <w:proofErr w:type="spellEnd"/>
            <w:r w:rsidR="00072A80" w:rsidRPr="004F7E58">
              <w:t xml:space="preserve"> </w:t>
            </w:r>
            <w:proofErr w:type="spellStart"/>
            <w:r w:rsidR="00072A80" w:rsidRPr="004F7E58">
              <w:t>ostvarena</w:t>
            </w:r>
            <w:proofErr w:type="spellEnd"/>
            <w:r w:rsidRPr="004F7E58">
              <w:t xml:space="preserve">.  </w:t>
            </w:r>
          </w:p>
        </w:tc>
      </w:tr>
    </w:tbl>
    <w:p w14:paraId="0AE1FC43" w14:textId="43AF4F45" w:rsidR="00DF0CE9" w:rsidRPr="004F7E58" w:rsidRDefault="00DF0CE9" w:rsidP="00DD6650">
      <w:pPr>
        <w:rPr>
          <w:b/>
          <w:lang w:val="bs-Latn-BA"/>
        </w:rPr>
      </w:pPr>
    </w:p>
    <w:tbl>
      <w:tblPr>
        <w:tblStyle w:val="TableGrid"/>
        <w:tblW w:w="9475" w:type="dxa"/>
        <w:tblInd w:w="-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6204"/>
        <w:gridCol w:w="2761"/>
      </w:tblGrid>
      <w:tr w:rsidR="00DD6650" w:rsidRPr="004F7E58" w14:paraId="2E25F9EC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9F6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251" w14:textId="49BDD915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3FFF" w14:textId="0F3A947D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EE6D1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EE6D1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F52867" w:rsidRPr="004F7E58" w14:paraId="688E9C09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95E0" w14:textId="77777777" w:rsidR="00F52867" w:rsidRPr="004F7E58" w:rsidRDefault="00F52867" w:rsidP="00F5286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5C43" w14:textId="3150B469" w:rsidR="00F52867" w:rsidRPr="004F7E58" w:rsidRDefault="002C4A89" w:rsidP="00F5286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VI.3.1 Usklađivanje metodologije sa INTOSAI-jevim  Okvirom profesionalnih objava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533E6C" w14:textId="53F231F2" w:rsidR="00F52867" w:rsidRPr="004F7E58" w:rsidRDefault="00F52867" w:rsidP="00C16BF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F52867" w:rsidRPr="004F7E58" w14:paraId="06D94D0D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733" w14:textId="77777777" w:rsidR="00F52867" w:rsidRPr="004F7E58" w:rsidRDefault="00F52867" w:rsidP="00F5286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78E0" w14:textId="58160186" w:rsidR="00F52867" w:rsidRPr="004F7E58" w:rsidRDefault="002C4A89" w:rsidP="00F52867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VI.3.A Revizije obavljene u skladu sa ISSAI standarda, čime je osiguran kvalitet revizija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8120D" w14:textId="585C8DB4" w:rsidR="00F52867" w:rsidRPr="004F7E58" w:rsidRDefault="00F52867" w:rsidP="00F52867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DD6650" w:rsidRPr="004F7E58" w14:paraId="4B47A733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96D9468" w14:textId="77777777" w:rsidR="00DD6650" w:rsidRPr="004F7E58" w:rsidRDefault="00DD6650" w:rsidP="000701C7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7BA5D4DF" w14:textId="776D8EDA" w:rsidR="009211D7" w:rsidRPr="004F7E58" w:rsidRDefault="00DD23D2" w:rsidP="007A2B21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Usklađivanje sa ISSAI standardima je kontinuirana aktivnost koju Ured provodi tokom svake godine, prateći izmjene standarda. Ažuriranja se provode nakon značajnih izmjena u oblasti finansijske i revizije učinka. Ostvarene su ciljne vrijednosti za 2024. godinu koje se odnose na razvoj metodologije za provođenje hladnih i vrućih pregleda, provođenje kontrole kvaliteta izvršenih revizija, prevod i objavu ISSAI standarda. Kontinuirano se vrši dopuna i usklađivanje metodologija te upoznavanja revizorskog osoblja sa izmjenama. </w:t>
            </w:r>
          </w:p>
          <w:p w14:paraId="79CD1265" w14:textId="0EB65548" w:rsidR="00DD23D2" w:rsidRPr="004F7E58" w:rsidRDefault="00DD23D2" w:rsidP="007A2B21">
            <w:pPr>
              <w:pStyle w:val="NormalPFM1"/>
              <w:keepNext/>
              <w:rPr>
                <w:lang w:val="bs-Latn-BA"/>
              </w:rPr>
            </w:pPr>
          </w:p>
        </w:tc>
      </w:tr>
      <w:tr w:rsidR="00DD6650" w:rsidRPr="004F7E58" w14:paraId="629A2B7C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DDC" w14:textId="77777777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E8D" w14:textId="46350F74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 xml:space="preserve">Aktivnost (A) za  </w:t>
            </w:r>
            <w:r w:rsidR="006276E5" w:rsidRPr="004F7E58">
              <w:rPr>
                <w:b/>
                <w:noProof/>
                <w:lang w:val="bs-Latn-BA"/>
              </w:rPr>
              <w:t>postizanje</w:t>
            </w:r>
            <w:r w:rsidRPr="004F7E58">
              <w:rPr>
                <w:b/>
                <w:noProof/>
                <w:lang w:val="bs-Latn-BA"/>
              </w:rPr>
              <w:t xml:space="preserve">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F8CF" w14:textId="47526BB1" w:rsidR="00DD6650" w:rsidRPr="004F7E58" w:rsidRDefault="00DD6650" w:rsidP="000701C7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93533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93533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73074E" w:rsidRPr="004F7E58" w14:paraId="0BC53A71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31DA" w14:textId="77777777" w:rsidR="0073074E" w:rsidRPr="004F7E58" w:rsidRDefault="0073074E" w:rsidP="0073074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10F" w14:textId="463AAAEF" w:rsidR="0073074E" w:rsidRPr="004F7E58" w:rsidRDefault="0073074E" w:rsidP="0073074E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VI.3.2 Provođenje aktivnosti kontrole kvaliteta, kako bi se osiguralo da se revizije provode u skladu sa INTOSAI-jevim standardima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45E96A0" w14:textId="50C91589" w:rsidR="0073074E" w:rsidRPr="004F7E58" w:rsidRDefault="0073074E" w:rsidP="00C16BFF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410FF2" w:rsidRPr="004F7E58" w14:paraId="617E70A2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B03" w14:textId="77777777" w:rsidR="00410FF2" w:rsidRPr="004F7E58" w:rsidRDefault="00410FF2" w:rsidP="00410FF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6123" w14:textId="668450DA" w:rsidR="00410FF2" w:rsidRPr="004F7E58" w:rsidRDefault="001E1285" w:rsidP="001E128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VI.3.B </w:t>
            </w:r>
            <w:r w:rsidR="00410FF2" w:rsidRPr="004F7E58">
              <w:rPr>
                <w:noProof/>
                <w:lang w:val="bs-Latn-BA"/>
              </w:rPr>
              <w:t>Kontrola kvaliteta revizija se provodi u skladu sa relevantnim standardima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0B6DC1" w14:textId="7D1EAB5C" w:rsidR="00410FF2" w:rsidRPr="004F7E58" w:rsidRDefault="00410FF2" w:rsidP="00410FF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DD6650" w:rsidRPr="004F7E58" w14:paraId="2932BAD1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4AB3E9CB" w14:textId="77777777" w:rsidR="00DD6650" w:rsidRPr="004F7E58" w:rsidRDefault="00DD6650" w:rsidP="000701C7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392C28F0" w14:textId="77777777" w:rsidR="00734854" w:rsidRPr="004F7E58" w:rsidRDefault="00734854" w:rsidP="00734854">
            <w:pPr>
              <w:rPr>
                <w:rFonts w:ascii="Calibri" w:eastAsia="MS PGothic" w:hAnsi="Calibri" w:cs="Times New Roman"/>
                <w:noProof/>
                <w:sz w:val="21"/>
                <w:szCs w:val="21"/>
                <w:lang w:val="bs-Latn-BA" w:eastAsia="zh-CN"/>
              </w:rPr>
            </w:pPr>
            <w:r w:rsidRPr="004F7E58">
              <w:rPr>
                <w:rFonts w:ascii="Calibri" w:eastAsia="MS PGothic" w:hAnsi="Calibri" w:cs="Times New Roman"/>
                <w:noProof/>
                <w:sz w:val="21"/>
                <w:szCs w:val="21"/>
                <w:lang w:val="bs-Latn-BA" w:eastAsia="zh-CN"/>
              </w:rPr>
              <w:t xml:space="preserve">Ured kontinuirano provodi rad na usklađivanju metodologije i vrši uobičajeni nadzor (monitoring) tokom svake revizije. Tokom 2024. godine Ured je kadrovski ojačao Sektor za razvoj, metodologiju i upravljanje kvalitetom. Intenzivirale se aktivnosti na provođenju vrućih i hladnih pregleda kao dio procesa revizije. </w:t>
            </w:r>
          </w:p>
          <w:p w14:paraId="657A8AFB" w14:textId="7FD59B4C" w:rsidR="00F05BCF" w:rsidRPr="004F7E58" w:rsidRDefault="00F05BCF" w:rsidP="0093533F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  <w:tr w:rsidR="002C4A89" w:rsidRPr="004F7E58" w14:paraId="0A299CC8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4357" w14:textId="77777777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259D" w14:textId="77777777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DD0B" w14:textId="5E800E6D" w:rsidR="002C4A89" w:rsidRPr="004F7E58" w:rsidRDefault="002C4A89" w:rsidP="00F05BCF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93533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93533F" w:rsidRPr="004F7E58">
              <w:rPr>
                <w:b/>
                <w:noProof/>
                <w:lang w:val="bs-Latn-BA"/>
              </w:rPr>
              <w:t>4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C4A89" w:rsidRPr="004F7E58" w14:paraId="18939250" w14:textId="77777777" w:rsidTr="00F05BC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774" w14:textId="77777777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032F" w14:textId="37A0DE49" w:rsidR="002C4A89" w:rsidRPr="004F7E58" w:rsidRDefault="0073074E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VI.3.3 Provođenje sistemskog praćenja postupanja po datim preporukama u revizorskim izvještajima, s ciljem povećanja odgovornosti, transparentnosti i učinkovitosti u javnom sektoru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FF20A1" w14:textId="49763B85" w:rsidR="002C4A89" w:rsidRPr="004F7E58" w:rsidRDefault="0073074E" w:rsidP="008F59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2C4A89" w:rsidRPr="004F7E58" w14:paraId="2338D489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806" w14:textId="77777777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7A87" w14:textId="0B8A6810" w:rsidR="002C4A89" w:rsidRPr="004F7E58" w:rsidRDefault="0073074E" w:rsidP="007E3EA0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VI.3.C Povećana Implementacija preporuka VRI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759B1" w14:textId="05F7B292" w:rsidR="002C4A89" w:rsidRPr="004F7E58" w:rsidRDefault="0073074E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Rok za realizaciju još nije istekao</w:t>
            </w:r>
          </w:p>
        </w:tc>
      </w:tr>
      <w:tr w:rsidR="002C4A89" w:rsidRPr="004F7E58" w14:paraId="5FB99921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563E6190" w14:textId="77777777" w:rsidR="002C4A89" w:rsidRPr="004F7E58" w:rsidRDefault="002C4A89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632E6D19" w14:textId="77777777" w:rsidR="00734854" w:rsidRPr="004F7E58" w:rsidRDefault="00734854" w:rsidP="00734854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>Procenat realizacije preporuka u 2024. godini je 37%, čime je izvršen i premašen godišnji cilj kada je u pitanju ciljna vrijednost definisane podaktivnosti za 2024. godinu.</w:t>
            </w:r>
          </w:p>
          <w:p w14:paraId="071C3A3E" w14:textId="77777777" w:rsidR="00734854" w:rsidRPr="004F7E58" w:rsidRDefault="00734854" w:rsidP="00734854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Tokom 2024. izrađena je metodologija za obavljanje revizija praćenja za finansijske revizije, i sam broj revizija je povećan u odnosu na prošlu godinu. Također, donesena je Procedura za praćenje postupanja po preporukama i povećan je broj planiranih revizija praćenja (follow up). </w:t>
            </w:r>
          </w:p>
          <w:p w14:paraId="22422CB3" w14:textId="69B57F3B" w:rsidR="00CB5438" w:rsidRPr="004F7E58" w:rsidRDefault="00CB5438" w:rsidP="00CB5438">
            <w:pPr>
              <w:pStyle w:val="NormalPFM1"/>
              <w:keepNext/>
              <w:rPr>
                <w:noProof/>
                <w:lang w:val="bs-Latn-BA"/>
              </w:rPr>
            </w:pPr>
          </w:p>
        </w:tc>
      </w:tr>
      <w:tr w:rsidR="002C4A89" w:rsidRPr="004F7E58" w14:paraId="7C0BFF94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D6F" w14:textId="77777777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left"/>
              <w:rPr>
                <w:b/>
                <w:noProof/>
                <w:lang w:val="bs-Latn-BA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265" w14:textId="77777777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Aktivnost (A) za  postizanje rezultata mjere (RM)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B9F1" w14:textId="5C989F5D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center"/>
              <w:rPr>
                <w:b/>
                <w:noProof/>
                <w:lang w:val="bs-Latn-BA"/>
              </w:rPr>
            </w:pPr>
            <w:r w:rsidRPr="004F7E58">
              <w:rPr>
                <w:b/>
                <w:noProof/>
                <w:lang w:val="bs-Latn-BA"/>
              </w:rPr>
              <w:t>Status 31.12.202</w:t>
            </w:r>
            <w:r w:rsidR="00D44AA4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 / Ostvarenje u 202</w:t>
            </w:r>
            <w:r w:rsidR="00D44AA4" w:rsidRPr="004F7E58">
              <w:rPr>
                <w:b/>
                <w:noProof/>
                <w:lang w:val="bs-Latn-BA"/>
              </w:rPr>
              <w:t>3</w:t>
            </w:r>
            <w:r w:rsidRPr="004F7E58">
              <w:rPr>
                <w:b/>
                <w:noProof/>
                <w:lang w:val="bs-Latn-BA"/>
              </w:rPr>
              <w:t>.</w:t>
            </w:r>
          </w:p>
        </w:tc>
      </w:tr>
      <w:tr w:rsidR="002C4A89" w:rsidRPr="004F7E58" w14:paraId="6EEC918C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D756" w14:textId="77777777" w:rsidR="002C4A89" w:rsidRPr="004F7E58" w:rsidRDefault="002C4A89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A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E0C6" w14:textId="2FF9E462" w:rsidR="002C4A89" w:rsidRPr="004F7E58" w:rsidRDefault="00083707" w:rsidP="007E3EA0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VI.3.4 Jačanje komunikacije sa ključnim akterima kao što su subjekti revizije, zakonodavna tijela svih nivoa vlasti,  organi za provođnje zakona, mediji i građani, kako bi se povećao uticaj revizije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40E05F" w14:textId="68D9281D" w:rsidR="002C4A89" w:rsidRPr="004F7E58" w:rsidRDefault="00083707" w:rsidP="008F5929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U toku </w:t>
            </w:r>
          </w:p>
        </w:tc>
      </w:tr>
      <w:tr w:rsidR="00410FF2" w:rsidRPr="004F7E58" w14:paraId="0F96F104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9D6D" w14:textId="77777777" w:rsidR="00410FF2" w:rsidRPr="004F7E58" w:rsidRDefault="00410FF2" w:rsidP="00410FF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lastRenderedPageBreak/>
              <w:t>RM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1EC" w14:textId="5B8977BE" w:rsidR="00410FF2" w:rsidRPr="004F7E58" w:rsidRDefault="001E1285" w:rsidP="001E1285">
            <w:pPr>
              <w:pStyle w:val="NormalPFM1"/>
              <w:keepNext/>
              <w:spacing w:before="40" w:after="40" w:line="240" w:lineRule="auto"/>
              <w:ind w:left="247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 xml:space="preserve"> VI.3.D </w:t>
            </w:r>
            <w:r w:rsidR="00410FF2" w:rsidRPr="004F7E58">
              <w:rPr>
                <w:noProof/>
                <w:lang w:val="bs-Latn-BA"/>
              </w:rPr>
              <w:t>Na snazi je Komunikacijska strategije sa adekvatnim resursima za implementaciju.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A874D6" w14:textId="43C3925C" w:rsidR="00410FF2" w:rsidRPr="004F7E58" w:rsidRDefault="00410FF2" w:rsidP="00410FF2">
            <w:pPr>
              <w:pStyle w:val="NormalPFM1"/>
              <w:keepNext/>
              <w:spacing w:before="40" w:after="40" w:line="240" w:lineRule="auto"/>
              <w:jc w:val="left"/>
              <w:rPr>
                <w:noProof/>
                <w:lang w:val="bs-Latn-BA"/>
              </w:rPr>
            </w:pPr>
            <w:r w:rsidRPr="004F7E58">
              <w:rPr>
                <w:noProof/>
                <w:lang w:val="bs-Latn-BA"/>
              </w:rPr>
              <w:t>Rezultat mjere djelomično postignut</w:t>
            </w:r>
          </w:p>
        </w:tc>
      </w:tr>
      <w:tr w:rsidR="002C4A89" w:rsidRPr="004F7E58" w14:paraId="44F22C1E" w14:textId="77777777" w:rsidTr="004C1A3E">
        <w:trPr>
          <w:cantSplit/>
        </w:trPr>
        <w:tc>
          <w:tcPr>
            <w:tcW w:w="510" w:type="dxa"/>
            <w:tcBorders>
              <w:top w:val="single" w:sz="4" w:space="0" w:color="auto"/>
            </w:tcBorders>
          </w:tcPr>
          <w:p w14:paraId="2CA8CD91" w14:textId="77777777" w:rsidR="002C4A89" w:rsidRPr="004F7E58" w:rsidRDefault="002C4A89" w:rsidP="007E3EA0">
            <w:pPr>
              <w:pStyle w:val="NormalPFM1"/>
              <w:keepNext/>
              <w:ind w:left="720"/>
              <w:rPr>
                <w:noProof/>
                <w:lang w:val="bs-Latn-BA"/>
              </w:rPr>
            </w:pPr>
          </w:p>
        </w:tc>
        <w:tc>
          <w:tcPr>
            <w:tcW w:w="8965" w:type="dxa"/>
            <w:gridSpan w:val="2"/>
            <w:tcBorders>
              <w:top w:val="single" w:sz="4" w:space="0" w:color="auto"/>
            </w:tcBorders>
          </w:tcPr>
          <w:p w14:paraId="72753483" w14:textId="77777777" w:rsidR="00734854" w:rsidRPr="004F7E58" w:rsidRDefault="00734854" w:rsidP="00734854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U 2023. Ured je usvojio Komunikacijsku strategiju 2023–2025. godine. Strategijom se jača funkcija komuniciranja rada Ureda za reviziju po pitanju djelovanja zakonodavnih organa u obezbjeđenju postupanja po preporukama, objava saopćenja za javnost i drugog informativnog sadržaja. Definisan je rezultat mjere. </w:t>
            </w:r>
          </w:p>
          <w:p w14:paraId="156C75D6" w14:textId="77777777" w:rsidR="00734854" w:rsidRPr="004F7E58" w:rsidRDefault="00734854" w:rsidP="00734854">
            <w:pPr>
              <w:pStyle w:val="NormalPFM1"/>
              <w:keepNext/>
              <w:rPr>
                <w:lang w:val="bs-Latn-BA"/>
              </w:rPr>
            </w:pPr>
            <w:r w:rsidRPr="004F7E58">
              <w:rPr>
                <w:lang w:val="bs-Latn-BA"/>
              </w:rPr>
              <w:t xml:space="preserve">Aktivnosti iz Strategije u 2024. su se obavljale u cilju povećanja efekata rada. </w:t>
            </w:r>
          </w:p>
          <w:p w14:paraId="46B5BBCB" w14:textId="0375DF8E" w:rsidR="0093533F" w:rsidRPr="004F7E58" w:rsidRDefault="00734854" w:rsidP="00F05BCF">
            <w:pPr>
              <w:pStyle w:val="NormalPFM1"/>
              <w:keepNext/>
              <w:rPr>
                <w:noProof/>
                <w:lang w:val="bs-Latn-BA"/>
              </w:rPr>
            </w:pPr>
            <w:r w:rsidRPr="004F7E58">
              <w:rPr>
                <w:lang w:val="bs-Latn-BA"/>
              </w:rPr>
              <w:t>Tokom 2024. godine izrađena je posebna publikacija u kojoj su objedinjeni nalazi iz oblasti javnih nabavki iz svih revizorskih izvještaja, uz analize predstavljenog materijala.</w:t>
            </w:r>
          </w:p>
        </w:tc>
      </w:tr>
    </w:tbl>
    <w:p w14:paraId="04278DF6" w14:textId="7DCBD213" w:rsidR="00C97686" w:rsidRPr="004F7E58" w:rsidRDefault="00237ECB" w:rsidP="00237ECB">
      <w:pPr>
        <w:pStyle w:val="Heading1"/>
        <w:rPr>
          <w:b/>
          <w:noProof/>
          <w:color w:val="C00000"/>
          <w:szCs w:val="26"/>
          <w:lang w:val="bs-Latn-BA"/>
        </w:rPr>
      </w:pPr>
      <w:bookmarkStart w:id="38" w:name="_Toc214450243"/>
      <w:r>
        <w:rPr>
          <w:b/>
          <w:noProof/>
          <w:color w:val="C00000"/>
          <w:szCs w:val="26"/>
          <w:lang w:val="bs-Latn-BA"/>
        </w:rPr>
        <w:t xml:space="preserve">5. </w:t>
      </w:r>
      <w:r w:rsidR="00C97686" w:rsidRPr="004F7E58">
        <w:rPr>
          <w:b/>
          <w:noProof/>
          <w:color w:val="C00000"/>
          <w:szCs w:val="26"/>
          <w:lang w:val="bs-Latn-BA"/>
        </w:rPr>
        <w:t xml:space="preserve">Odstupanja u realizaciji planiranih aktivnosti iz </w:t>
      </w:r>
      <w:r w:rsidR="00C95886" w:rsidRPr="004F7E58">
        <w:rPr>
          <w:b/>
          <w:noProof/>
          <w:color w:val="C00000"/>
          <w:szCs w:val="26"/>
          <w:lang w:val="bs-Latn-BA"/>
        </w:rPr>
        <w:t>a</w:t>
      </w:r>
      <w:r w:rsidR="00C97686" w:rsidRPr="004F7E58">
        <w:rPr>
          <w:b/>
          <w:noProof/>
          <w:color w:val="C00000"/>
          <w:szCs w:val="26"/>
          <w:lang w:val="bs-Latn-BA"/>
        </w:rPr>
        <w:t>kcionog plana  u 202</w:t>
      </w:r>
      <w:r w:rsidR="00197463" w:rsidRPr="004F7E58">
        <w:rPr>
          <w:b/>
          <w:noProof/>
          <w:color w:val="C00000"/>
          <w:szCs w:val="26"/>
          <w:lang w:val="bs-Latn-BA"/>
        </w:rPr>
        <w:t>4</w:t>
      </w:r>
      <w:r w:rsidR="00C97686" w:rsidRPr="004F7E58">
        <w:rPr>
          <w:b/>
          <w:noProof/>
          <w:color w:val="C00000"/>
          <w:szCs w:val="26"/>
          <w:lang w:val="bs-Latn-BA"/>
        </w:rPr>
        <w:t>.</w:t>
      </w:r>
      <w:r w:rsidR="00C95886" w:rsidRPr="004F7E58">
        <w:rPr>
          <w:b/>
          <w:noProof/>
          <w:color w:val="C00000"/>
          <w:szCs w:val="26"/>
          <w:lang w:val="bs-Latn-BA"/>
        </w:rPr>
        <w:t xml:space="preserve"> </w:t>
      </w:r>
      <w:r w:rsidR="00C97686" w:rsidRPr="004F7E58">
        <w:rPr>
          <w:b/>
          <w:noProof/>
          <w:color w:val="C00000"/>
          <w:szCs w:val="26"/>
          <w:lang w:val="bs-Latn-BA"/>
        </w:rPr>
        <w:t>godini</w:t>
      </w:r>
      <w:bookmarkEnd w:id="38"/>
    </w:p>
    <w:p w14:paraId="0DC059CE" w14:textId="77777777" w:rsidR="00202E9A" w:rsidRPr="004F7E58" w:rsidRDefault="00202E9A" w:rsidP="00843F49">
      <w:pPr>
        <w:spacing w:line="240" w:lineRule="auto"/>
        <w:jc w:val="both"/>
        <w:rPr>
          <w:lang w:val="fr-FR"/>
        </w:rPr>
      </w:pPr>
    </w:p>
    <w:p w14:paraId="1CE1F0A0" w14:textId="637FAD06" w:rsidR="00E30CBF" w:rsidRPr="004F7E58" w:rsidRDefault="00E30CBF" w:rsidP="00843F49">
      <w:pPr>
        <w:spacing w:line="240" w:lineRule="auto"/>
        <w:jc w:val="both"/>
        <w:rPr>
          <w:lang w:val="bs-Latn-BA"/>
        </w:rPr>
      </w:pPr>
      <w:r w:rsidRPr="004F7E58">
        <w:rPr>
          <w:lang w:val="bs-Latn-BA"/>
        </w:rPr>
        <w:t>U toku provođenja Strategije tokom 202</w:t>
      </w:r>
      <w:r w:rsidR="00AB6C89" w:rsidRPr="004F7E58">
        <w:rPr>
          <w:lang w:val="bs-Latn-BA"/>
        </w:rPr>
        <w:t>4</w:t>
      </w:r>
      <w:r w:rsidRPr="004F7E58">
        <w:rPr>
          <w:lang w:val="bs-Latn-BA"/>
        </w:rPr>
        <w:t xml:space="preserve">. godine, došlo je do kašnjenja u implementaciji </w:t>
      </w:r>
      <w:r w:rsidR="00FD7083" w:rsidRPr="004F7E58">
        <w:rPr>
          <w:lang w:val="bs-Latn-BA"/>
        </w:rPr>
        <w:t xml:space="preserve">četiri </w:t>
      </w:r>
      <w:r w:rsidRPr="004F7E58">
        <w:rPr>
          <w:lang w:val="bs-Latn-BA"/>
        </w:rPr>
        <w:t xml:space="preserve">aktivnosti, </w:t>
      </w:r>
      <w:r w:rsidR="00FD7083" w:rsidRPr="004F7E58">
        <w:rPr>
          <w:lang w:val="bs-Latn-BA"/>
        </w:rPr>
        <w:t xml:space="preserve">i posljedičnog kašnjenja dva rezultata </w:t>
      </w:r>
      <w:r w:rsidRPr="004F7E58">
        <w:rPr>
          <w:lang w:val="bs-Latn-BA"/>
        </w:rPr>
        <w:t xml:space="preserve">mjera. To kašnjenje predstavlja </w:t>
      </w:r>
      <w:r w:rsidR="00FD7083" w:rsidRPr="004F7E58">
        <w:rPr>
          <w:lang w:val="bs-Latn-BA"/>
        </w:rPr>
        <w:t>ispod 3</w:t>
      </w:r>
      <w:r w:rsidRPr="004F7E58">
        <w:rPr>
          <w:lang w:val="bs-Latn-BA"/>
        </w:rPr>
        <w:t xml:space="preserve">% od svih aktivnosti u Strategiji, tako da je </w:t>
      </w:r>
      <w:r w:rsidR="00FD7083" w:rsidRPr="004F7E58">
        <w:rPr>
          <w:lang w:val="bs-Latn-BA"/>
        </w:rPr>
        <w:t>2024</w:t>
      </w:r>
      <w:r w:rsidRPr="004F7E58">
        <w:rPr>
          <w:lang w:val="bs-Latn-BA"/>
        </w:rPr>
        <w:t xml:space="preserve">. godina imala pozitivan trend rada na postizanju ciljeva </w:t>
      </w:r>
      <w:r w:rsidR="005D4D3D">
        <w:rPr>
          <w:lang w:val="bs-Latn-BA"/>
        </w:rPr>
        <w:t>S</w:t>
      </w:r>
      <w:r w:rsidRPr="004F7E58">
        <w:rPr>
          <w:lang w:val="bs-Latn-BA"/>
        </w:rPr>
        <w:t xml:space="preserve">trategije. </w:t>
      </w:r>
    </w:p>
    <w:p w14:paraId="3707C2ED" w14:textId="13F6D1ED" w:rsidR="00843F49" w:rsidRPr="004F7E58" w:rsidRDefault="002E72DF" w:rsidP="00843F49">
      <w:pPr>
        <w:spacing w:line="240" w:lineRule="auto"/>
        <w:jc w:val="both"/>
        <w:rPr>
          <w:lang w:val="bs-Latn-BA"/>
        </w:rPr>
      </w:pPr>
      <w:r w:rsidRPr="004F7E58">
        <w:rPr>
          <w:lang w:val="bs-Latn-BA"/>
        </w:rPr>
        <w:t>U 202</w:t>
      </w:r>
      <w:r w:rsidR="00AB6C89" w:rsidRPr="004F7E58">
        <w:rPr>
          <w:lang w:val="bs-Latn-BA"/>
        </w:rPr>
        <w:t>4</w:t>
      </w:r>
      <w:r w:rsidRPr="004F7E58">
        <w:rPr>
          <w:lang w:val="bs-Latn-BA"/>
        </w:rPr>
        <w:t xml:space="preserve">. </w:t>
      </w:r>
      <w:r w:rsidR="00AB6C89" w:rsidRPr="004F7E58">
        <w:rPr>
          <w:lang w:val="bs-Latn-BA"/>
        </w:rPr>
        <w:t xml:space="preserve">godini </w:t>
      </w:r>
      <w:r w:rsidRPr="004F7E58">
        <w:rPr>
          <w:lang w:val="bs-Latn-BA"/>
        </w:rPr>
        <w:t>je došlo do pozitvnih pomaka u zapošljavanju, ali i dalje u nedovoljnom obimu da zadovolji potrebe FMF i VRIFBiH</w:t>
      </w:r>
      <w:r w:rsidR="00843F49" w:rsidRPr="004F7E58">
        <w:rPr>
          <w:lang w:val="bs-Latn-BA"/>
        </w:rPr>
        <w:t xml:space="preserve">. </w:t>
      </w:r>
    </w:p>
    <w:p w14:paraId="27699493" w14:textId="564249C5" w:rsidR="007A6D51" w:rsidRPr="004F7E58" w:rsidRDefault="00912011" w:rsidP="003B3E9C">
      <w:pPr>
        <w:spacing w:line="240" w:lineRule="auto"/>
        <w:jc w:val="both"/>
        <w:rPr>
          <w:lang w:val="bs-Latn-BA"/>
        </w:rPr>
      </w:pPr>
      <w:r w:rsidRPr="004F7E58">
        <w:rPr>
          <w:lang w:val="bs-Latn-BA"/>
        </w:rPr>
        <w:t>Kao i u prethodnom izvještajnom periodu,</w:t>
      </w:r>
      <w:r w:rsidR="007A6D51" w:rsidRPr="004F7E58">
        <w:rPr>
          <w:lang w:val="bs-Latn-BA"/>
        </w:rPr>
        <w:t xml:space="preserve"> </w:t>
      </w:r>
      <w:r w:rsidRPr="004F7E58">
        <w:rPr>
          <w:lang w:val="bs-Latn-BA"/>
        </w:rPr>
        <w:t>FMF</w:t>
      </w:r>
      <w:r w:rsidR="007A6D51" w:rsidRPr="004F7E58">
        <w:rPr>
          <w:lang w:val="bs-Latn-BA"/>
        </w:rPr>
        <w:t xml:space="preserve"> ima </w:t>
      </w:r>
      <w:r w:rsidR="002307DA" w:rsidRPr="004F7E58">
        <w:rPr>
          <w:lang w:val="bs-Latn-BA"/>
        </w:rPr>
        <w:t xml:space="preserve">akutni </w:t>
      </w:r>
      <w:r w:rsidR="007A6D51" w:rsidRPr="004F7E58">
        <w:rPr>
          <w:lang w:val="bs-Latn-BA"/>
        </w:rPr>
        <w:t xml:space="preserve">problem sa kapacitetom, uposlenici koji su otišli u penziju nisu </w:t>
      </w:r>
      <w:r w:rsidR="00CB5438" w:rsidRPr="004F7E58">
        <w:rPr>
          <w:lang w:val="bs-Latn-BA"/>
        </w:rPr>
        <w:t xml:space="preserve">u potpunosti </w:t>
      </w:r>
      <w:r w:rsidR="007A6D51" w:rsidRPr="004F7E58">
        <w:rPr>
          <w:lang w:val="bs-Latn-BA"/>
        </w:rPr>
        <w:t>zamijenjeni. Na kraju, nedostatak IT osoblja</w:t>
      </w:r>
      <w:r w:rsidR="00C54B65" w:rsidRPr="004F7E58">
        <w:rPr>
          <w:lang w:val="bs-Latn-BA"/>
        </w:rPr>
        <w:t xml:space="preserve"> utiče na brzinu i kvalitet rada svih sektora </w:t>
      </w:r>
      <w:r w:rsidRPr="004F7E58">
        <w:rPr>
          <w:lang w:val="bs-Latn-BA"/>
        </w:rPr>
        <w:t>FMF</w:t>
      </w:r>
      <w:r w:rsidR="00C54B65" w:rsidRPr="004F7E58">
        <w:rPr>
          <w:lang w:val="bs-Latn-BA"/>
        </w:rPr>
        <w:t xml:space="preserve">. Potrebno je pojačati kapacitete </w:t>
      </w:r>
      <w:r w:rsidRPr="004F7E58">
        <w:rPr>
          <w:lang w:val="bs-Latn-BA"/>
        </w:rPr>
        <w:t>FMF</w:t>
      </w:r>
      <w:r w:rsidR="00C54B65" w:rsidRPr="004F7E58">
        <w:rPr>
          <w:lang w:val="bs-Latn-BA"/>
        </w:rPr>
        <w:t xml:space="preserve">, da bi, pored drugih obaveza, mogli i adekvatno implementirati samu Strategiju. </w:t>
      </w:r>
      <w:r w:rsidRPr="004F7E58">
        <w:rPr>
          <w:lang w:val="bs-Latn-BA"/>
        </w:rPr>
        <w:t>Imajući u vidu faktore koji su doveli do odstupanja od plana, FMF je ažuriralo rokove aktivnosti prilikom izrade Akcionog plana za 202</w:t>
      </w:r>
      <w:r w:rsidR="00AB6C89" w:rsidRPr="004F7E58">
        <w:rPr>
          <w:lang w:val="bs-Latn-BA"/>
        </w:rPr>
        <w:t>5</w:t>
      </w:r>
      <w:r w:rsidRPr="004F7E58">
        <w:rPr>
          <w:lang w:val="bs-Latn-BA"/>
        </w:rPr>
        <w:t>. godinu.</w:t>
      </w:r>
    </w:p>
    <w:p w14:paraId="5083FCC1" w14:textId="6C7C9DC6" w:rsidR="002307DA" w:rsidRPr="004F7E58" w:rsidRDefault="00843F49" w:rsidP="00843F49">
      <w:pPr>
        <w:spacing w:line="240" w:lineRule="auto"/>
        <w:jc w:val="both"/>
        <w:rPr>
          <w:lang w:val="fr-FR"/>
        </w:rPr>
      </w:pPr>
      <w:r w:rsidRPr="004F7E58">
        <w:rPr>
          <w:lang w:val="bs-Latn-BA"/>
        </w:rPr>
        <w:t>Tehnička pomoć od donatora (projekti podrške su imenovani u Poglavlju 2) je bila višestruko korisna.</w:t>
      </w:r>
      <w:r w:rsidR="002E72DF" w:rsidRPr="004F7E58">
        <w:rPr>
          <w:lang w:val="bs-Latn-BA"/>
        </w:rPr>
        <w:t xml:space="preserve"> </w:t>
      </w:r>
      <w:r w:rsidR="00AB6C89" w:rsidRPr="004F7E58">
        <w:rPr>
          <w:lang w:val="bs-Latn-BA"/>
        </w:rPr>
        <w:t xml:space="preserve">Obzirom na prestanak finansiranja USAID projekata tehničke podrške, </w:t>
      </w:r>
      <w:proofErr w:type="spellStart"/>
      <w:r w:rsidRPr="004F7E58">
        <w:rPr>
          <w:lang w:val="fr-FR"/>
        </w:rPr>
        <w:t>FMF</w:t>
      </w:r>
      <w:proofErr w:type="spellEnd"/>
      <w:r w:rsidRPr="004F7E58">
        <w:rPr>
          <w:lang w:val="fr-FR"/>
        </w:rPr>
        <w:t xml:space="preserve"> je </w:t>
      </w:r>
      <w:proofErr w:type="spellStart"/>
      <w:r w:rsidRPr="004F7E58">
        <w:rPr>
          <w:lang w:val="fr-FR"/>
        </w:rPr>
        <w:t>djelomično</w:t>
      </w:r>
      <w:proofErr w:type="spellEnd"/>
      <w:r w:rsidRPr="004F7E58">
        <w:rPr>
          <w:lang w:val="fr-FR"/>
        </w:rPr>
        <w:t xml:space="preserve"> </w:t>
      </w:r>
      <w:proofErr w:type="spellStart"/>
      <w:r w:rsidRPr="004F7E58">
        <w:rPr>
          <w:lang w:val="fr-FR"/>
        </w:rPr>
        <w:t>osiguralo</w:t>
      </w:r>
      <w:proofErr w:type="spellEnd"/>
      <w:r w:rsidRPr="004F7E58">
        <w:rPr>
          <w:lang w:val="fr-FR"/>
        </w:rPr>
        <w:t xml:space="preserve"> </w:t>
      </w:r>
      <w:proofErr w:type="spellStart"/>
      <w:r w:rsidRPr="004F7E58">
        <w:rPr>
          <w:lang w:val="fr-FR"/>
        </w:rPr>
        <w:t>podršku</w:t>
      </w:r>
      <w:proofErr w:type="spellEnd"/>
      <w:r w:rsidRPr="004F7E58">
        <w:rPr>
          <w:lang w:val="fr-FR"/>
        </w:rPr>
        <w:t xml:space="preserve"> </w:t>
      </w:r>
      <w:proofErr w:type="spellStart"/>
      <w:r w:rsidRPr="004F7E58">
        <w:rPr>
          <w:lang w:val="fr-FR"/>
        </w:rPr>
        <w:t>za</w:t>
      </w:r>
      <w:proofErr w:type="spellEnd"/>
      <w:r w:rsidRPr="004F7E58">
        <w:rPr>
          <w:lang w:val="fr-FR"/>
        </w:rPr>
        <w:t xml:space="preserve"> </w:t>
      </w:r>
      <w:proofErr w:type="spellStart"/>
      <w:r w:rsidRPr="004F7E58">
        <w:rPr>
          <w:lang w:val="fr-FR"/>
        </w:rPr>
        <w:t>provođenje</w:t>
      </w:r>
      <w:proofErr w:type="spellEnd"/>
      <w:r w:rsidRPr="004F7E58">
        <w:rPr>
          <w:lang w:val="fr-FR"/>
        </w:rPr>
        <w:t xml:space="preserve"> </w:t>
      </w:r>
      <w:proofErr w:type="spellStart"/>
      <w:r w:rsidRPr="004F7E58">
        <w:rPr>
          <w:lang w:val="fr-FR"/>
        </w:rPr>
        <w:t>onih</w:t>
      </w:r>
      <w:proofErr w:type="spellEnd"/>
      <w:r w:rsidRPr="004F7E58">
        <w:rPr>
          <w:lang w:val="fr-FR"/>
        </w:rPr>
        <w:t xml:space="preserve"> </w:t>
      </w:r>
      <w:proofErr w:type="spellStart"/>
      <w:r w:rsidRPr="004F7E58">
        <w:rPr>
          <w:lang w:val="fr-FR"/>
        </w:rPr>
        <w:t>koje</w:t>
      </w:r>
      <w:proofErr w:type="spellEnd"/>
      <w:r w:rsidRPr="004F7E58">
        <w:rPr>
          <w:lang w:val="fr-FR"/>
        </w:rPr>
        <w:t xml:space="preserve"> su </w:t>
      </w:r>
      <w:proofErr w:type="spellStart"/>
      <w:r w:rsidRPr="004F7E58">
        <w:rPr>
          <w:lang w:val="fr-FR"/>
        </w:rPr>
        <w:t>najprioritetnije</w:t>
      </w:r>
      <w:proofErr w:type="spellEnd"/>
      <w:r w:rsidRPr="004F7E58">
        <w:rPr>
          <w:lang w:val="fr-FR"/>
        </w:rPr>
        <w:t xml:space="preserve"> </w:t>
      </w:r>
      <w:proofErr w:type="spellStart"/>
      <w:r w:rsidRPr="004F7E58">
        <w:rPr>
          <w:lang w:val="fr-FR"/>
        </w:rPr>
        <w:t>dok</w:t>
      </w:r>
      <w:proofErr w:type="spellEnd"/>
      <w:r w:rsidRPr="004F7E58">
        <w:rPr>
          <w:lang w:val="fr-FR"/>
        </w:rPr>
        <w:t xml:space="preserve"> su </w:t>
      </w:r>
      <w:proofErr w:type="spellStart"/>
      <w:r w:rsidRPr="004F7E58">
        <w:rPr>
          <w:lang w:val="fr-FR"/>
        </w:rPr>
        <w:t>ostale</w:t>
      </w:r>
      <w:proofErr w:type="spellEnd"/>
      <w:r w:rsidRPr="004F7E58">
        <w:rPr>
          <w:lang w:val="fr-FR"/>
        </w:rPr>
        <w:t xml:space="preserve"> </w:t>
      </w:r>
      <w:proofErr w:type="spellStart"/>
      <w:r w:rsidR="00AB6C89" w:rsidRPr="004F7E58">
        <w:rPr>
          <w:lang w:val="fr-FR"/>
        </w:rPr>
        <w:t>obustavljene</w:t>
      </w:r>
      <w:proofErr w:type="spellEnd"/>
      <w:r w:rsidRPr="004F7E58">
        <w:rPr>
          <w:lang w:val="fr-FR"/>
        </w:rPr>
        <w:t xml:space="preserve">. </w:t>
      </w:r>
      <w:r w:rsidR="007E251E">
        <w:rPr>
          <w:lang w:val="fr-FR"/>
        </w:rPr>
        <w:t xml:space="preserve">I </w:t>
      </w:r>
      <w:proofErr w:type="spellStart"/>
      <w:r w:rsidR="007E251E">
        <w:rPr>
          <w:lang w:val="fr-FR"/>
        </w:rPr>
        <w:t>pored</w:t>
      </w:r>
      <w:proofErr w:type="spellEnd"/>
      <w:r w:rsidR="007E251E">
        <w:rPr>
          <w:lang w:val="fr-FR"/>
        </w:rPr>
        <w:t xml:space="preserve"> </w:t>
      </w:r>
      <w:proofErr w:type="spellStart"/>
      <w:r w:rsidR="007E251E">
        <w:rPr>
          <w:lang w:val="fr-FR"/>
        </w:rPr>
        <w:t>toga</w:t>
      </w:r>
      <w:proofErr w:type="spellEnd"/>
      <w:r w:rsidR="007E251E">
        <w:rPr>
          <w:lang w:val="fr-FR"/>
        </w:rPr>
        <w:t xml:space="preserve">, </w:t>
      </w:r>
      <w:r w:rsidR="007E251E" w:rsidRPr="007E251E">
        <w:rPr>
          <w:lang w:val="fr-FR"/>
        </w:rPr>
        <w:t xml:space="preserve">tri </w:t>
      </w:r>
      <w:proofErr w:type="spellStart"/>
      <w:r w:rsidR="007E251E" w:rsidRPr="007E251E">
        <w:rPr>
          <w:lang w:val="fr-FR"/>
        </w:rPr>
        <w:t>aktivnosti</w:t>
      </w:r>
      <w:proofErr w:type="spellEnd"/>
      <w:r w:rsidR="007E251E" w:rsidRPr="007E251E">
        <w:rPr>
          <w:lang w:val="fr-FR"/>
        </w:rPr>
        <w:t xml:space="preserve"> </w:t>
      </w:r>
      <w:r w:rsidR="007E251E">
        <w:rPr>
          <w:lang w:val="fr-FR"/>
        </w:rPr>
        <w:t xml:space="preserve">u </w:t>
      </w:r>
      <w:proofErr w:type="spellStart"/>
      <w:r w:rsidR="007E251E">
        <w:rPr>
          <w:lang w:val="fr-FR"/>
        </w:rPr>
        <w:t>Stubu</w:t>
      </w:r>
      <w:proofErr w:type="spellEnd"/>
      <w:r w:rsidR="007E251E">
        <w:rPr>
          <w:lang w:val="fr-FR"/>
        </w:rPr>
        <w:t xml:space="preserve"> II </w:t>
      </w:r>
      <w:proofErr w:type="spellStart"/>
      <w:r w:rsidR="007E251E" w:rsidRPr="007E251E">
        <w:rPr>
          <w:lang w:val="fr-FR"/>
        </w:rPr>
        <w:t>koje</w:t>
      </w:r>
      <w:proofErr w:type="spellEnd"/>
      <w:r w:rsidR="007E251E" w:rsidRPr="007E251E">
        <w:rPr>
          <w:lang w:val="fr-FR"/>
        </w:rPr>
        <w:t xml:space="preserve"> su bile </w:t>
      </w:r>
      <w:proofErr w:type="spellStart"/>
      <w:r w:rsidR="007E251E" w:rsidRPr="007E251E">
        <w:rPr>
          <w:lang w:val="fr-FR"/>
        </w:rPr>
        <w:t>zasnovane</w:t>
      </w:r>
      <w:proofErr w:type="spellEnd"/>
      <w:r w:rsidR="007E251E" w:rsidRPr="007E251E">
        <w:rPr>
          <w:lang w:val="fr-FR"/>
        </w:rPr>
        <w:t xml:space="preserve"> na </w:t>
      </w:r>
      <w:proofErr w:type="spellStart"/>
      <w:r w:rsidR="007E251E" w:rsidRPr="007E251E">
        <w:rPr>
          <w:lang w:val="fr-FR"/>
        </w:rPr>
        <w:t>podršci</w:t>
      </w:r>
      <w:proofErr w:type="spellEnd"/>
      <w:r w:rsidR="007E251E" w:rsidRPr="007E251E">
        <w:rPr>
          <w:lang w:val="fr-FR"/>
        </w:rPr>
        <w:t xml:space="preserve"> </w:t>
      </w:r>
      <w:proofErr w:type="spellStart"/>
      <w:r w:rsidR="007E251E">
        <w:rPr>
          <w:lang w:val="fr-FR"/>
        </w:rPr>
        <w:t>USAID</w:t>
      </w:r>
      <w:proofErr w:type="spellEnd"/>
      <w:r w:rsidR="007E251E">
        <w:rPr>
          <w:lang w:val="fr-FR"/>
        </w:rPr>
        <w:t xml:space="preserve"> </w:t>
      </w:r>
      <w:r w:rsidR="007E251E" w:rsidRPr="007E251E">
        <w:rPr>
          <w:lang w:val="fr-FR"/>
        </w:rPr>
        <w:t xml:space="preserve">su </w:t>
      </w:r>
      <w:proofErr w:type="spellStart"/>
      <w:r w:rsidR="007E251E" w:rsidRPr="007E251E">
        <w:rPr>
          <w:lang w:val="fr-FR"/>
        </w:rPr>
        <w:t>obustavljene</w:t>
      </w:r>
      <w:proofErr w:type="spellEnd"/>
      <w:r w:rsidR="007E251E" w:rsidRPr="007E251E">
        <w:rPr>
          <w:lang w:val="fr-FR"/>
        </w:rPr>
        <w:t xml:space="preserve">. </w:t>
      </w:r>
      <w:proofErr w:type="spellStart"/>
      <w:r w:rsidR="007E251E" w:rsidRPr="007E251E">
        <w:rPr>
          <w:lang w:val="fr-FR"/>
        </w:rPr>
        <w:t>Još</w:t>
      </w:r>
      <w:proofErr w:type="spellEnd"/>
      <w:r w:rsidR="007E251E" w:rsidRPr="007E251E">
        <w:rPr>
          <w:lang w:val="fr-FR"/>
        </w:rPr>
        <w:t xml:space="preserve"> </w:t>
      </w:r>
      <w:proofErr w:type="spellStart"/>
      <w:r w:rsidR="007E251E" w:rsidRPr="007E251E">
        <w:rPr>
          <w:lang w:val="fr-FR"/>
        </w:rPr>
        <w:t>jedna</w:t>
      </w:r>
      <w:proofErr w:type="spellEnd"/>
      <w:r w:rsidR="007E251E" w:rsidRPr="007E251E">
        <w:rPr>
          <w:lang w:val="fr-FR"/>
        </w:rPr>
        <w:t xml:space="preserve"> </w:t>
      </w:r>
      <w:proofErr w:type="spellStart"/>
      <w:r w:rsidR="007E251E" w:rsidRPr="007E251E">
        <w:rPr>
          <w:lang w:val="fr-FR"/>
        </w:rPr>
        <w:t>aktivnost</w:t>
      </w:r>
      <w:proofErr w:type="spellEnd"/>
      <w:r w:rsidR="007E251E" w:rsidRPr="007E251E">
        <w:rPr>
          <w:lang w:val="fr-FR"/>
        </w:rPr>
        <w:t xml:space="preserve"> </w:t>
      </w:r>
      <w:r w:rsidR="007E251E">
        <w:rPr>
          <w:lang w:val="fr-FR"/>
        </w:rPr>
        <w:t xml:space="preserve">u </w:t>
      </w:r>
      <w:proofErr w:type="spellStart"/>
      <w:r w:rsidR="007E251E">
        <w:rPr>
          <w:lang w:val="fr-FR"/>
        </w:rPr>
        <w:t>Stubu</w:t>
      </w:r>
      <w:proofErr w:type="spellEnd"/>
      <w:r w:rsidR="007E251E">
        <w:rPr>
          <w:lang w:val="fr-FR"/>
        </w:rPr>
        <w:t xml:space="preserve"> II </w:t>
      </w:r>
      <w:r w:rsidR="007E251E" w:rsidRPr="007E251E">
        <w:rPr>
          <w:lang w:val="fr-FR"/>
        </w:rPr>
        <w:t xml:space="preserve">je </w:t>
      </w:r>
      <w:proofErr w:type="spellStart"/>
      <w:r w:rsidR="007E251E" w:rsidRPr="007E251E">
        <w:rPr>
          <w:lang w:val="fr-FR"/>
        </w:rPr>
        <w:t>zaustavljena</w:t>
      </w:r>
      <w:proofErr w:type="spellEnd"/>
      <w:r w:rsidR="007E251E" w:rsidRPr="007E251E">
        <w:rPr>
          <w:lang w:val="fr-FR"/>
        </w:rPr>
        <w:t xml:space="preserve"> </w:t>
      </w:r>
      <w:proofErr w:type="spellStart"/>
      <w:r w:rsidR="007E251E">
        <w:rPr>
          <w:lang w:val="fr-FR"/>
        </w:rPr>
        <w:t>obzirom</w:t>
      </w:r>
      <w:proofErr w:type="spellEnd"/>
      <w:r w:rsidR="007E251E" w:rsidRPr="007E251E">
        <w:rPr>
          <w:lang w:val="fr-FR"/>
        </w:rPr>
        <w:t xml:space="preserve"> na </w:t>
      </w:r>
      <w:proofErr w:type="spellStart"/>
      <w:r w:rsidR="007E251E" w:rsidRPr="007E251E">
        <w:rPr>
          <w:lang w:val="fr-FR"/>
        </w:rPr>
        <w:t>zakonodavne</w:t>
      </w:r>
      <w:proofErr w:type="spellEnd"/>
      <w:r w:rsidR="007E251E" w:rsidRPr="007E251E">
        <w:rPr>
          <w:lang w:val="fr-FR"/>
        </w:rPr>
        <w:t xml:space="preserve"> </w:t>
      </w:r>
      <w:proofErr w:type="spellStart"/>
      <w:r w:rsidR="007E251E" w:rsidRPr="007E251E">
        <w:rPr>
          <w:lang w:val="fr-FR"/>
        </w:rPr>
        <w:t>aktivnosti</w:t>
      </w:r>
      <w:proofErr w:type="spellEnd"/>
      <w:r w:rsidR="007E251E" w:rsidRPr="007E251E">
        <w:rPr>
          <w:lang w:val="fr-FR"/>
        </w:rPr>
        <w:t xml:space="preserve"> </w:t>
      </w:r>
      <w:proofErr w:type="spellStart"/>
      <w:r w:rsidR="007E251E" w:rsidRPr="007E251E">
        <w:rPr>
          <w:lang w:val="fr-FR"/>
        </w:rPr>
        <w:t>Parlamenta</w:t>
      </w:r>
      <w:proofErr w:type="spellEnd"/>
      <w:r w:rsidR="007E251E" w:rsidRPr="007E251E">
        <w:rPr>
          <w:lang w:val="fr-FR"/>
        </w:rPr>
        <w:t xml:space="preserve"> </w:t>
      </w:r>
      <w:proofErr w:type="spellStart"/>
      <w:r w:rsidR="007E251E" w:rsidRPr="007E251E">
        <w:rPr>
          <w:lang w:val="fr-FR"/>
        </w:rPr>
        <w:t>FBiH</w:t>
      </w:r>
      <w:proofErr w:type="spellEnd"/>
      <w:r w:rsidR="007E251E" w:rsidRPr="007E251E">
        <w:rPr>
          <w:lang w:val="fr-FR"/>
        </w:rPr>
        <w:t>.</w:t>
      </w:r>
    </w:p>
    <w:p w14:paraId="492925E7" w14:textId="5FE12DF0" w:rsidR="00B963AD" w:rsidRPr="004F7E58" w:rsidRDefault="008821A9" w:rsidP="003B3E9C">
      <w:pPr>
        <w:shd w:val="clear" w:color="auto" w:fill="FFFFFF"/>
        <w:spacing w:line="240" w:lineRule="auto"/>
        <w:jc w:val="both"/>
        <w:textAlignment w:val="baseline"/>
      </w:pPr>
      <w:proofErr w:type="spellStart"/>
      <w:r w:rsidRPr="004F7E58">
        <w:t>Pregled</w:t>
      </w:r>
      <w:proofErr w:type="spellEnd"/>
      <w:r w:rsidRPr="004F7E58">
        <w:t xml:space="preserve"> </w:t>
      </w:r>
      <w:proofErr w:type="spellStart"/>
      <w:r w:rsidRPr="004F7E58">
        <w:t>statusa</w:t>
      </w:r>
      <w:proofErr w:type="spellEnd"/>
      <w:r w:rsidRPr="004F7E58">
        <w:t xml:space="preserve"> </w:t>
      </w:r>
      <w:proofErr w:type="spellStart"/>
      <w:r w:rsidRPr="004F7E58">
        <w:t>aktivnosti</w:t>
      </w:r>
      <w:proofErr w:type="spellEnd"/>
      <w:r w:rsidRPr="004F7E58">
        <w:t xml:space="preserve"> (</w:t>
      </w:r>
      <w:proofErr w:type="spellStart"/>
      <w:r w:rsidRPr="004F7E58">
        <w:t>Prilog</w:t>
      </w:r>
      <w:proofErr w:type="spellEnd"/>
      <w:r w:rsidRPr="004F7E58">
        <w:t xml:space="preserve"> 1) </w:t>
      </w:r>
      <w:proofErr w:type="spellStart"/>
      <w:r w:rsidRPr="004F7E58">
        <w:t>pruža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pregled</w:t>
      </w:r>
      <w:proofErr w:type="spellEnd"/>
      <w:r w:rsidRPr="004F7E58">
        <w:t xml:space="preserve"> </w:t>
      </w:r>
      <w:proofErr w:type="spellStart"/>
      <w:r w:rsidRPr="004F7E58">
        <w:t>odstupanja</w:t>
      </w:r>
      <w:proofErr w:type="spellEnd"/>
      <w:r w:rsidRPr="004F7E58">
        <w:t xml:space="preserve"> od plana po </w:t>
      </w:r>
      <w:proofErr w:type="spellStart"/>
      <w:r w:rsidRPr="004F7E58">
        <w:t>pojedinačnim</w:t>
      </w:r>
      <w:proofErr w:type="spellEnd"/>
      <w:r w:rsidRPr="004F7E58">
        <w:t xml:space="preserve"> </w:t>
      </w:r>
      <w:proofErr w:type="spellStart"/>
      <w:r w:rsidRPr="004F7E58">
        <w:t>stubovima</w:t>
      </w:r>
      <w:proofErr w:type="spellEnd"/>
      <w:r w:rsidR="00425B00" w:rsidRPr="004F7E58">
        <w:t xml:space="preserve">, </w:t>
      </w:r>
      <w:proofErr w:type="spellStart"/>
      <w:r w:rsidR="00425B00" w:rsidRPr="004F7E58">
        <w:t>mjerama</w:t>
      </w:r>
      <w:proofErr w:type="spellEnd"/>
      <w:r w:rsidR="00425B00" w:rsidRPr="004F7E58">
        <w:t xml:space="preserve"> </w:t>
      </w:r>
      <w:proofErr w:type="spellStart"/>
      <w:r w:rsidR="00425B00" w:rsidRPr="004F7E58">
        <w:t>i</w:t>
      </w:r>
      <w:proofErr w:type="spellEnd"/>
      <w:r w:rsidR="00425B00" w:rsidRPr="004F7E58">
        <w:t xml:space="preserve"> </w:t>
      </w:r>
      <w:proofErr w:type="spellStart"/>
      <w:r w:rsidR="00425B00" w:rsidRPr="004F7E58">
        <w:t>aktivnostima</w:t>
      </w:r>
      <w:proofErr w:type="spellEnd"/>
      <w:r w:rsidR="00425B00" w:rsidRPr="004F7E58">
        <w:t xml:space="preserve"> </w:t>
      </w:r>
      <w:proofErr w:type="spellStart"/>
      <w:r w:rsidRPr="004F7E58">
        <w:t>tokom</w:t>
      </w:r>
      <w:proofErr w:type="spellEnd"/>
      <w:r w:rsidRPr="004F7E58">
        <w:t xml:space="preserve"> </w:t>
      </w:r>
      <w:r w:rsidR="00B948BE" w:rsidRPr="004F7E58">
        <w:t>202</w:t>
      </w:r>
      <w:r w:rsidR="00AB6C89" w:rsidRPr="004F7E58">
        <w:t>4</w:t>
      </w:r>
      <w:r w:rsidRPr="004F7E58">
        <w:t xml:space="preserve">. </w:t>
      </w:r>
      <w:proofErr w:type="spellStart"/>
      <w:r w:rsidRPr="004F7E58">
        <w:t>godine</w:t>
      </w:r>
      <w:proofErr w:type="spellEnd"/>
      <w:r w:rsidRPr="004F7E58">
        <w:t>.</w:t>
      </w:r>
      <w:r w:rsidR="00425B00" w:rsidRPr="004F7E58">
        <w:t xml:space="preserve"> </w:t>
      </w:r>
    </w:p>
    <w:p w14:paraId="57BE9EB6" w14:textId="4A9FEE9A" w:rsidR="00C97686" w:rsidRPr="004F7E58" w:rsidRDefault="00C97686" w:rsidP="00C97686"/>
    <w:p w14:paraId="0271B886" w14:textId="1554F902" w:rsidR="004D432B" w:rsidRPr="004F7E58" w:rsidRDefault="00C97686" w:rsidP="00237ECB">
      <w:pPr>
        <w:pStyle w:val="Heading1"/>
        <w:numPr>
          <w:ilvl w:val="0"/>
          <w:numId w:val="34"/>
        </w:numPr>
        <w:rPr>
          <w:b/>
          <w:noProof/>
          <w:color w:val="C00000"/>
          <w:szCs w:val="26"/>
          <w:lang w:val="bs-Latn-BA"/>
        </w:rPr>
      </w:pPr>
      <w:bookmarkStart w:id="39" w:name="_Toc214450244"/>
      <w:r w:rsidRPr="004F7E58">
        <w:rPr>
          <w:b/>
          <w:noProof/>
          <w:color w:val="C00000"/>
          <w:szCs w:val="26"/>
          <w:lang w:val="bs-Latn-BA"/>
        </w:rPr>
        <w:t>Zaključak</w:t>
      </w:r>
      <w:bookmarkEnd w:id="39"/>
      <w:r w:rsidRPr="004F7E58">
        <w:rPr>
          <w:b/>
          <w:noProof/>
          <w:color w:val="C00000"/>
          <w:szCs w:val="26"/>
          <w:lang w:val="bs-Latn-BA"/>
        </w:rPr>
        <w:t xml:space="preserve"> </w:t>
      </w:r>
    </w:p>
    <w:p w14:paraId="02DE2C2F" w14:textId="77777777" w:rsidR="00C97686" w:rsidRPr="004F7E58" w:rsidRDefault="00C97686" w:rsidP="00C97686"/>
    <w:p w14:paraId="174C3CF5" w14:textId="70B3B222" w:rsidR="00B659F0" w:rsidRPr="004F7E58" w:rsidRDefault="00B659F0" w:rsidP="00DD75C8">
      <w:pPr>
        <w:spacing w:line="240" w:lineRule="auto"/>
        <w:jc w:val="both"/>
      </w:pPr>
      <w:proofErr w:type="spellStart"/>
      <w:r w:rsidRPr="004F7E58">
        <w:t>Proces</w:t>
      </w:r>
      <w:proofErr w:type="spellEnd"/>
      <w:r w:rsidRPr="004F7E58">
        <w:t xml:space="preserve"> </w:t>
      </w:r>
      <w:proofErr w:type="spellStart"/>
      <w:r w:rsidRPr="004F7E58">
        <w:t>ažuriranja</w:t>
      </w:r>
      <w:proofErr w:type="spellEnd"/>
      <w:r w:rsidRPr="004F7E58">
        <w:t xml:space="preserve"> </w:t>
      </w:r>
      <w:proofErr w:type="spellStart"/>
      <w:r w:rsidRPr="004F7E58">
        <w:t>radnog</w:t>
      </w:r>
      <w:proofErr w:type="spellEnd"/>
      <w:r w:rsidRPr="004F7E58">
        <w:t xml:space="preserve"> plana </w:t>
      </w:r>
      <w:proofErr w:type="spellStart"/>
      <w:r w:rsidRPr="004F7E58">
        <w:t>na</w:t>
      </w:r>
      <w:proofErr w:type="spellEnd"/>
      <w:r w:rsidRPr="004F7E58">
        <w:t xml:space="preserve"> </w:t>
      </w:r>
      <w:proofErr w:type="spellStart"/>
      <w:r w:rsidRPr="004F7E58">
        <w:t>godišnjem</w:t>
      </w:r>
      <w:proofErr w:type="spellEnd"/>
      <w:r w:rsidRPr="004F7E58">
        <w:t xml:space="preserve"> </w:t>
      </w:r>
      <w:proofErr w:type="spellStart"/>
      <w:r w:rsidRPr="004F7E58">
        <w:t>nivou</w:t>
      </w:r>
      <w:proofErr w:type="spellEnd"/>
      <w:r w:rsidRPr="004F7E58">
        <w:t xml:space="preserve"> koji </w:t>
      </w:r>
      <w:proofErr w:type="spellStart"/>
      <w:r w:rsidRPr="004F7E58">
        <w:t>odgovara</w:t>
      </w:r>
      <w:proofErr w:type="spellEnd"/>
      <w:r w:rsidRPr="004F7E58">
        <w:t xml:space="preserve"> </w:t>
      </w:r>
      <w:proofErr w:type="spellStart"/>
      <w:r w:rsidRPr="004F7E58">
        <w:t>na</w:t>
      </w:r>
      <w:proofErr w:type="spellEnd"/>
      <w:r w:rsidRPr="004F7E58">
        <w:t xml:space="preserve"> </w:t>
      </w:r>
      <w:proofErr w:type="spellStart"/>
      <w:r w:rsidRPr="004F7E58">
        <w:t>vanjske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unutarnje</w:t>
      </w:r>
      <w:proofErr w:type="spellEnd"/>
      <w:r w:rsidRPr="004F7E58">
        <w:t xml:space="preserve"> </w:t>
      </w:r>
      <w:proofErr w:type="spellStart"/>
      <w:r w:rsidRPr="004F7E58">
        <w:t>izazove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promjene</w:t>
      </w:r>
      <w:proofErr w:type="spellEnd"/>
      <w:r w:rsidRPr="004F7E58">
        <w:t xml:space="preserve"> koji </w:t>
      </w:r>
      <w:proofErr w:type="spellStart"/>
      <w:r w:rsidRPr="004F7E58">
        <w:t>utiču</w:t>
      </w:r>
      <w:proofErr w:type="spellEnd"/>
      <w:r w:rsidRPr="004F7E58">
        <w:t xml:space="preserve"> </w:t>
      </w:r>
      <w:proofErr w:type="spellStart"/>
      <w:r w:rsidRPr="004F7E58">
        <w:t>na</w:t>
      </w:r>
      <w:proofErr w:type="spellEnd"/>
      <w:r w:rsidRPr="004F7E58">
        <w:t xml:space="preserve"> rad FMF se </w:t>
      </w:r>
      <w:proofErr w:type="spellStart"/>
      <w:r w:rsidRPr="004F7E58">
        <w:t>pokazao</w:t>
      </w:r>
      <w:proofErr w:type="spellEnd"/>
      <w:r w:rsidRPr="004F7E58">
        <w:t xml:space="preserve"> </w:t>
      </w:r>
      <w:proofErr w:type="spellStart"/>
      <w:r w:rsidRPr="004F7E58">
        <w:t>kao</w:t>
      </w:r>
      <w:proofErr w:type="spellEnd"/>
      <w:r w:rsidRPr="004F7E58">
        <w:t xml:space="preserve"> </w:t>
      </w:r>
      <w:proofErr w:type="spellStart"/>
      <w:r w:rsidRPr="004F7E58">
        <w:t>pravilan</w:t>
      </w:r>
      <w:proofErr w:type="spellEnd"/>
      <w:r w:rsidRPr="004F7E58">
        <w:t xml:space="preserve"> </w:t>
      </w:r>
      <w:proofErr w:type="spellStart"/>
      <w:r w:rsidRPr="004F7E58">
        <w:t>pristup</w:t>
      </w:r>
      <w:proofErr w:type="spellEnd"/>
      <w:r w:rsidRPr="004F7E58">
        <w:t xml:space="preserve">,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omogućava</w:t>
      </w:r>
      <w:proofErr w:type="spellEnd"/>
      <w:r w:rsidRPr="004F7E58">
        <w:t xml:space="preserve"> </w:t>
      </w:r>
      <w:proofErr w:type="spellStart"/>
      <w:r w:rsidRPr="004F7E58">
        <w:t>brzu</w:t>
      </w:r>
      <w:proofErr w:type="spellEnd"/>
      <w:r w:rsidRPr="004F7E58">
        <w:t xml:space="preserve"> </w:t>
      </w:r>
      <w:proofErr w:type="spellStart"/>
      <w:r w:rsidRPr="004F7E58">
        <w:t>reakciju</w:t>
      </w:r>
      <w:proofErr w:type="spellEnd"/>
      <w:r w:rsidRPr="004F7E58">
        <w:t xml:space="preserve"> u </w:t>
      </w:r>
      <w:proofErr w:type="spellStart"/>
      <w:r w:rsidRPr="004F7E58">
        <w:t>smislu</w:t>
      </w:r>
      <w:proofErr w:type="spellEnd"/>
      <w:r w:rsidRPr="004F7E58">
        <w:t xml:space="preserve"> </w:t>
      </w:r>
      <w:proofErr w:type="spellStart"/>
      <w:r w:rsidRPr="004F7E58">
        <w:t>promjena</w:t>
      </w:r>
      <w:proofErr w:type="spellEnd"/>
      <w:r w:rsidRPr="004F7E58">
        <w:t xml:space="preserve"> u </w:t>
      </w:r>
      <w:proofErr w:type="spellStart"/>
      <w:r w:rsidRPr="004F7E58">
        <w:t>pristupu</w:t>
      </w:r>
      <w:proofErr w:type="spellEnd"/>
      <w:r w:rsidRPr="004F7E58">
        <w:t xml:space="preserve"> </w:t>
      </w:r>
      <w:proofErr w:type="spellStart"/>
      <w:r w:rsidRPr="004F7E58">
        <w:t>rješavanju</w:t>
      </w:r>
      <w:proofErr w:type="spellEnd"/>
      <w:r w:rsidRPr="004F7E58">
        <w:t xml:space="preserve"> </w:t>
      </w:r>
      <w:proofErr w:type="spellStart"/>
      <w:r w:rsidRPr="004F7E58">
        <w:t>problema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dostizanju</w:t>
      </w:r>
      <w:proofErr w:type="spellEnd"/>
      <w:r w:rsidRPr="004F7E58">
        <w:t xml:space="preserve"> </w:t>
      </w:r>
      <w:proofErr w:type="spellStart"/>
      <w:r w:rsidRPr="004F7E58">
        <w:t>postavljenih</w:t>
      </w:r>
      <w:proofErr w:type="spellEnd"/>
      <w:r w:rsidRPr="004F7E58">
        <w:t xml:space="preserve"> </w:t>
      </w:r>
      <w:proofErr w:type="spellStart"/>
      <w:r w:rsidRPr="004F7E58">
        <w:t>ciljeva</w:t>
      </w:r>
      <w:proofErr w:type="spellEnd"/>
      <w:r w:rsidRPr="004F7E58">
        <w:t xml:space="preserve">. Taj </w:t>
      </w:r>
      <w:proofErr w:type="spellStart"/>
      <w:r w:rsidRPr="004F7E58">
        <w:t>pristup</w:t>
      </w:r>
      <w:proofErr w:type="spellEnd"/>
      <w:r w:rsidRPr="004F7E58">
        <w:t xml:space="preserve"> </w:t>
      </w:r>
      <w:proofErr w:type="spellStart"/>
      <w:r w:rsidRPr="004F7E58">
        <w:t>takođe</w:t>
      </w:r>
      <w:proofErr w:type="spellEnd"/>
      <w:r w:rsidRPr="004F7E58">
        <w:t xml:space="preserve"> </w:t>
      </w:r>
      <w:proofErr w:type="spellStart"/>
      <w:r w:rsidRPr="004F7E58">
        <w:t>omogućava</w:t>
      </w:r>
      <w:proofErr w:type="spellEnd"/>
      <w:r w:rsidRPr="004F7E58">
        <w:t xml:space="preserve"> FMF da </w:t>
      </w:r>
      <w:proofErr w:type="spellStart"/>
      <w:r w:rsidRPr="004F7E58">
        <w:t>ažurira</w:t>
      </w:r>
      <w:proofErr w:type="spellEnd"/>
      <w:r w:rsidRPr="004F7E58">
        <w:t xml:space="preserve"> </w:t>
      </w:r>
      <w:proofErr w:type="spellStart"/>
      <w:r w:rsidRPr="004F7E58">
        <w:t>prioritete</w:t>
      </w:r>
      <w:proofErr w:type="spellEnd"/>
      <w:r w:rsidRPr="004F7E58">
        <w:t xml:space="preserve"> za </w:t>
      </w:r>
      <w:proofErr w:type="spellStart"/>
      <w:r w:rsidRPr="004F7E58">
        <w:t>implementaciju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postigne</w:t>
      </w:r>
      <w:proofErr w:type="spellEnd"/>
      <w:r w:rsidRPr="004F7E58">
        <w:t xml:space="preserve"> </w:t>
      </w:r>
      <w:proofErr w:type="spellStart"/>
      <w:r w:rsidRPr="004F7E58">
        <w:t>najbolju</w:t>
      </w:r>
      <w:proofErr w:type="spellEnd"/>
      <w:r w:rsidRPr="004F7E58">
        <w:t xml:space="preserve"> </w:t>
      </w:r>
      <w:proofErr w:type="spellStart"/>
      <w:r w:rsidRPr="004F7E58">
        <w:t>iskoristivost</w:t>
      </w:r>
      <w:proofErr w:type="spellEnd"/>
      <w:r w:rsidRPr="004F7E58">
        <w:t xml:space="preserve"> </w:t>
      </w:r>
      <w:proofErr w:type="spellStart"/>
      <w:r w:rsidRPr="004F7E58">
        <w:t>ograničenih</w:t>
      </w:r>
      <w:proofErr w:type="spellEnd"/>
      <w:r w:rsidRPr="004F7E58">
        <w:t xml:space="preserve"> </w:t>
      </w:r>
      <w:proofErr w:type="spellStart"/>
      <w:r w:rsidRPr="004F7E58">
        <w:t>resursa</w:t>
      </w:r>
      <w:proofErr w:type="spellEnd"/>
      <w:r w:rsidRPr="004F7E58">
        <w:t xml:space="preserve">. </w:t>
      </w:r>
    </w:p>
    <w:p w14:paraId="3C9C03C1" w14:textId="0BD3A1A3" w:rsidR="00B659F0" w:rsidRPr="004F7E58" w:rsidRDefault="00B659F0" w:rsidP="00DD75C8">
      <w:pPr>
        <w:spacing w:line="240" w:lineRule="auto"/>
        <w:jc w:val="both"/>
      </w:pPr>
      <w:proofErr w:type="spellStart"/>
      <w:r w:rsidRPr="004F7E58">
        <w:t>Napredak</w:t>
      </w:r>
      <w:proofErr w:type="spellEnd"/>
      <w:r w:rsidRPr="004F7E58">
        <w:t xml:space="preserve"> </w:t>
      </w:r>
      <w:proofErr w:type="spellStart"/>
      <w:r w:rsidRPr="004F7E58">
        <w:t>implementacije</w:t>
      </w:r>
      <w:proofErr w:type="spellEnd"/>
      <w:r w:rsidRPr="004F7E58">
        <w:t xml:space="preserve"> </w:t>
      </w:r>
      <w:proofErr w:type="spellStart"/>
      <w:r w:rsidRPr="004F7E58">
        <w:t>strategije</w:t>
      </w:r>
      <w:proofErr w:type="spellEnd"/>
      <w:r w:rsidRPr="004F7E58">
        <w:t xml:space="preserve"> </w:t>
      </w:r>
      <w:proofErr w:type="spellStart"/>
      <w:r w:rsidRPr="004F7E58">
        <w:t>varira</w:t>
      </w:r>
      <w:proofErr w:type="spellEnd"/>
      <w:r w:rsidRPr="004F7E58">
        <w:t xml:space="preserve"> </w:t>
      </w:r>
      <w:proofErr w:type="spellStart"/>
      <w:r w:rsidRPr="004F7E58">
        <w:t>od</w:t>
      </w:r>
      <w:proofErr w:type="spellEnd"/>
      <w:r w:rsidRPr="004F7E58">
        <w:t xml:space="preserve"> </w:t>
      </w:r>
      <w:proofErr w:type="spellStart"/>
      <w:r w:rsidRPr="004F7E58">
        <w:t>stuba</w:t>
      </w:r>
      <w:proofErr w:type="spellEnd"/>
      <w:r w:rsidRPr="004F7E58">
        <w:t xml:space="preserve"> do </w:t>
      </w:r>
      <w:proofErr w:type="spellStart"/>
      <w:r w:rsidRPr="004F7E58">
        <w:t>stuba</w:t>
      </w:r>
      <w:proofErr w:type="spellEnd"/>
      <w:r w:rsidR="00034E4F" w:rsidRPr="004F7E58">
        <w:t xml:space="preserve">. </w:t>
      </w:r>
      <w:proofErr w:type="spellStart"/>
      <w:r w:rsidR="00034E4F" w:rsidRPr="004F7E58">
        <w:t>T</w:t>
      </w:r>
      <w:r w:rsidRPr="004F7E58">
        <w:t>ehničk</w:t>
      </w:r>
      <w:r w:rsidR="00034E4F" w:rsidRPr="004F7E58">
        <w:t>a</w:t>
      </w:r>
      <w:proofErr w:type="spellEnd"/>
      <w:r w:rsidRPr="004F7E58">
        <w:t xml:space="preserve"> </w:t>
      </w:r>
      <w:proofErr w:type="spellStart"/>
      <w:r w:rsidRPr="004F7E58">
        <w:t>podršk</w:t>
      </w:r>
      <w:r w:rsidR="00034E4F" w:rsidRPr="004F7E58">
        <w:t>a</w:t>
      </w:r>
      <w:proofErr w:type="spellEnd"/>
      <w:r w:rsidRPr="004F7E58">
        <w:t xml:space="preserve"> </w:t>
      </w:r>
      <w:proofErr w:type="spellStart"/>
      <w:r w:rsidR="00034E4F" w:rsidRPr="004F7E58">
        <w:t>donator</w:t>
      </w:r>
      <w:r w:rsidR="00237ECB">
        <w:t>a</w:t>
      </w:r>
      <w:proofErr w:type="spellEnd"/>
      <w:r w:rsidR="00034E4F" w:rsidRPr="004F7E58">
        <w:t xml:space="preserve"> </w:t>
      </w:r>
      <w:proofErr w:type="spellStart"/>
      <w:r w:rsidR="00034E4F" w:rsidRPr="004F7E58">
        <w:t>nastavlja</w:t>
      </w:r>
      <w:proofErr w:type="spellEnd"/>
      <w:r w:rsidR="00034E4F" w:rsidRPr="004F7E58">
        <w:t xml:space="preserve"> </w:t>
      </w:r>
      <w:proofErr w:type="spellStart"/>
      <w:r w:rsidR="00034E4F" w:rsidRPr="004F7E58">
        <w:t>igrati</w:t>
      </w:r>
      <w:proofErr w:type="spellEnd"/>
      <w:r w:rsidR="00034E4F" w:rsidRPr="004F7E58">
        <w:t xml:space="preserve"> </w:t>
      </w:r>
      <w:proofErr w:type="spellStart"/>
      <w:r w:rsidR="00034E4F" w:rsidRPr="004F7E58">
        <w:t>značajnu</w:t>
      </w:r>
      <w:proofErr w:type="spellEnd"/>
      <w:r w:rsidR="00034E4F" w:rsidRPr="004F7E58">
        <w:t xml:space="preserve"> </w:t>
      </w:r>
      <w:proofErr w:type="spellStart"/>
      <w:r w:rsidR="00034E4F" w:rsidRPr="004F7E58">
        <w:t>ulogu</w:t>
      </w:r>
      <w:proofErr w:type="spellEnd"/>
      <w:r w:rsidR="00034E4F" w:rsidRPr="004F7E58">
        <w:t xml:space="preserve"> u </w:t>
      </w:r>
      <w:proofErr w:type="spellStart"/>
      <w:r w:rsidR="00034E4F" w:rsidRPr="004F7E58">
        <w:t>ostvarenju</w:t>
      </w:r>
      <w:proofErr w:type="spellEnd"/>
      <w:r w:rsidR="00034E4F" w:rsidRPr="004F7E58">
        <w:t xml:space="preserve"> </w:t>
      </w:r>
      <w:proofErr w:type="spellStart"/>
      <w:r w:rsidR="00034E4F" w:rsidRPr="004F7E58">
        <w:t>Strategije</w:t>
      </w:r>
      <w:proofErr w:type="spellEnd"/>
      <w:r w:rsidRPr="004F7E58">
        <w:t xml:space="preserve">. U </w:t>
      </w:r>
      <w:proofErr w:type="spellStart"/>
      <w:r w:rsidRPr="004F7E58">
        <w:t>slučaju</w:t>
      </w:r>
      <w:proofErr w:type="spellEnd"/>
      <w:r w:rsidRPr="004F7E58">
        <w:t xml:space="preserve"> da </w:t>
      </w:r>
      <w:proofErr w:type="spellStart"/>
      <w:r w:rsidRPr="004F7E58">
        <w:t>planirana</w:t>
      </w:r>
      <w:proofErr w:type="spellEnd"/>
      <w:r w:rsidRPr="004F7E58">
        <w:t xml:space="preserve"> </w:t>
      </w:r>
      <w:proofErr w:type="spellStart"/>
      <w:r w:rsidRPr="004F7E58">
        <w:t>podrška</w:t>
      </w:r>
      <w:proofErr w:type="spellEnd"/>
      <w:r w:rsidRPr="004F7E58">
        <w:t xml:space="preserve"> </w:t>
      </w:r>
      <w:proofErr w:type="spellStart"/>
      <w:r w:rsidRPr="004F7E58">
        <w:t>značajno</w:t>
      </w:r>
      <w:proofErr w:type="spellEnd"/>
      <w:r w:rsidRPr="004F7E58">
        <w:t xml:space="preserve"> </w:t>
      </w:r>
      <w:proofErr w:type="spellStart"/>
      <w:r w:rsidRPr="004F7E58">
        <w:t>kasni</w:t>
      </w:r>
      <w:proofErr w:type="spellEnd"/>
      <w:r w:rsidRPr="004F7E58">
        <w:t xml:space="preserve"> </w:t>
      </w:r>
      <w:proofErr w:type="spellStart"/>
      <w:r w:rsidR="00E4761E" w:rsidRPr="004F7E58">
        <w:t>ili</w:t>
      </w:r>
      <w:proofErr w:type="spellEnd"/>
      <w:r w:rsidR="00E4761E" w:rsidRPr="004F7E58">
        <w:t xml:space="preserve"> je </w:t>
      </w:r>
      <w:proofErr w:type="spellStart"/>
      <w:r w:rsidR="00E4761E" w:rsidRPr="004F7E58">
        <w:t>otkazana</w:t>
      </w:r>
      <w:proofErr w:type="spellEnd"/>
      <w:r w:rsidR="00E4761E" w:rsidRPr="004F7E58">
        <w:t xml:space="preserve"> </w:t>
      </w:r>
      <w:r w:rsidRPr="004F7E58">
        <w:t>(</w:t>
      </w:r>
      <w:proofErr w:type="spellStart"/>
      <w:r w:rsidR="00034E4F" w:rsidRPr="004F7E58">
        <w:t>kao</w:t>
      </w:r>
      <w:proofErr w:type="spellEnd"/>
      <w:r w:rsidR="00034E4F" w:rsidRPr="004F7E58">
        <w:t xml:space="preserve"> </w:t>
      </w:r>
      <w:proofErr w:type="spellStart"/>
      <w:r w:rsidR="00034E4F" w:rsidRPr="004F7E58">
        <w:lastRenderedPageBreak/>
        <w:t>što</w:t>
      </w:r>
      <w:proofErr w:type="spellEnd"/>
      <w:r w:rsidR="00034E4F" w:rsidRPr="004F7E58">
        <w:t xml:space="preserve"> </w:t>
      </w:r>
      <w:proofErr w:type="spellStart"/>
      <w:r w:rsidR="00034E4F" w:rsidRPr="004F7E58">
        <w:t>su</w:t>
      </w:r>
      <w:proofErr w:type="spellEnd"/>
      <w:r w:rsidR="00034E4F" w:rsidRPr="004F7E58">
        <w:t xml:space="preserve"> </w:t>
      </w:r>
      <w:proofErr w:type="spellStart"/>
      <w:r w:rsidR="00034E4F" w:rsidRPr="004F7E58">
        <w:t>aktivnosti</w:t>
      </w:r>
      <w:proofErr w:type="spellEnd"/>
      <w:r w:rsidR="00034E4F" w:rsidRPr="004F7E58">
        <w:t xml:space="preserve"> u </w:t>
      </w:r>
      <w:proofErr w:type="spellStart"/>
      <w:r w:rsidR="00034E4F" w:rsidRPr="004F7E58">
        <w:t>Stubu</w:t>
      </w:r>
      <w:proofErr w:type="spellEnd"/>
      <w:r w:rsidR="00034E4F" w:rsidRPr="004F7E58">
        <w:t xml:space="preserve"> II, </w:t>
      </w:r>
      <w:proofErr w:type="spellStart"/>
      <w:r w:rsidRPr="004F7E58">
        <w:t>projekat</w:t>
      </w:r>
      <w:proofErr w:type="spellEnd"/>
      <w:r w:rsidRPr="004F7E58">
        <w:t xml:space="preserve"> USAID-a je</w:t>
      </w:r>
      <w:r w:rsidR="00865337" w:rsidRPr="004F7E58">
        <w:t xml:space="preserve"> </w:t>
      </w:r>
      <w:proofErr w:type="spellStart"/>
      <w:r w:rsidR="00865337" w:rsidRPr="004F7E58">
        <w:t>kasnio</w:t>
      </w:r>
      <w:proofErr w:type="spellEnd"/>
      <w:r w:rsidR="00865337" w:rsidRPr="004F7E58">
        <w:t xml:space="preserve"> tri </w:t>
      </w:r>
      <w:proofErr w:type="spellStart"/>
      <w:r w:rsidR="00865337" w:rsidRPr="004F7E58">
        <w:t>godine</w:t>
      </w:r>
      <w:proofErr w:type="spellEnd"/>
      <w:r w:rsidR="00E4761E" w:rsidRPr="004F7E58">
        <w:t xml:space="preserve">, </w:t>
      </w:r>
      <w:proofErr w:type="spellStart"/>
      <w:r w:rsidR="00E4761E" w:rsidRPr="004F7E58">
        <w:t>zatim</w:t>
      </w:r>
      <w:proofErr w:type="spellEnd"/>
      <w:r w:rsidR="00E4761E" w:rsidRPr="004F7E58">
        <w:t xml:space="preserve"> </w:t>
      </w:r>
      <w:proofErr w:type="spellStart"/>
      <w:r w:rsidR="00E4761E" w:rsidRPr="004F7E58">
        <w:t>otkazan</w:t>
      </w:r>
      <w:proofErr w:type="spellEnd"/>
      <w:r w:rsidRPr="004F7E58">
        <w:t xml:space="preserve">) to </w:t>
      </w:r>
      <w:proofErr w:type="spellStart"/>
      <w:r w:rsidRPr="004F7E58">
        <w:t>dovodi</w:t>
      </w:r>
      <w:proofErr w:type="spellEnd"/>
      <w:r w:rsidRPr="004F7E58">
        <w:t xml:space="preserve"> do </w:t>
      </w:r>
      <w:proofErr w:type="spellStart"/>
      <w:r w:rsidRPr="004F7E58">
        <w:t>kašnjenja</w:t>
      </w:r>
      <w:proofErr w:type="spellEnd"/>
      <w:r w:rsidRPr="004F7E58">
        <w:t xml:space="preserve"> u </w:t>
      </w:r>
      <w:proofErr w:type="spellStart"/>
      <w:r w:rsidRPr="004F7E58">
        <w:t>radu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rizikuje</w:t>
      </w:r>
      <w:proofErr w:type="spellEnd"/>
      <w:r w:rsidRPr="004F7E58">
        <w:t xml:space="preserve"> </w:t>
      </w:r>
      <w:proofErr w:type="spellStart"/>
      <w:r w:rsidRPr="004F7E58">
        <w:t>nepostizanje</w:t>
      </w:r>
      <w:proofErr w:type="spellEnd"/>
      <w:r w:rsidRPr="004F7E58">
        <w:t xml:space="preserve"> </w:t>
      </w:r>
      <w:proofErr w:type="spellStart"/>
      <w:r w:rsidRPr="004F7E58">
        <w:t>zadatih</w:t>
      </w:r>
      <w:proofErr w:type="spellEnd"/>
      <w:r w:rsidRPr="004F7E58">
        <w:t xml:space="preserve"> </w:t>
      </w:r>
      <w:proofErr w:type="spellStart"/>
      <w:r w:rsidRPr="004F7E58">
        <w:t>ciljeva</w:t>
      </w:r>
      <w:proofErr w:type="spellEnd"/>
      <w:r w:rsidRPr="004F7E58">
        <w:t xml:space="preserve">. </w:t>
      </w:r>
    </w:p>
    <w:p w14:paraId="1E811666" w14:textId="49D67E53" w:rsidR="00B659F0" w:rsidRPr="004F7E58" w:rsidRDefault="00B659F0" w:rsidP="00DD75C8">
      <w:pPr>
        <w:spacing w:line="240" w:lineRule="auto"/>
        <w:jc w:val="both"/>
      </w:pPr>
      <w:r w:rsidRPr="004F7E58">
        <w:t xml:space="preserve">Pored toga, </w:t>
      </w:r>
      <w:proofErr w:type="spellStart"/>
      <w:r w:rsidRPr="004F7E58">
        <w:t>drugi</w:t>
      </w:r>
      <w:proofErr w:type="spellEnd"/>
      <w:r w:rsidRPr="004F7E58">
        <w:t xml:space="preserve"> </w:t>
      </w:r>
      <w:proofErr w:type="spellStart"/>
      <w:r w:rsidRPr="004F7E58">
        <w:t>vanjski</w:t>
      </w:r>
      <w:proofErr w:type="spellEnd"/>
      <w:r w:rsidRPr="004F7E58">
        <w:t xml:space="preserve"> </w:t>
      </w:r>
      <w:proofErr w:type="spellStart"/>
      <w:r w:rsidRPr="004F7E58">
        <w:t>rizici</w:t>
      </w:r>
      <w:proofErr w:type="spellEnd"/>
      <w:r w:rsidRPr="004F7E58">
        <w:t xml:space="preserve"> (van </w:t>
      </w:r>
      <w:proofErr w:type="spellStart"/>
      <w:r w:rsidRPr="004F7E58">
        <w:t>uticaja</w:t>
      </w:r>
      <w:proofErr w:type="spellEnd"/>
      <w:r w:rsidRPr="004F7E58">
        <w:t xml:space="preserve"> FMF) </w:t>
      </w:r>
      <w:proofErr w:type="spellStart"/>
      <w:r w:rsidRPr="004F7E58">
        <w:t>uključuju</w:t>
      </w:r>
      <w:proofErr w:type="spellEnd"/>
      <w:r w:rsidRPr="004F7E58">
        <w:t xml:space="preserve"> </w:t>
      </w:r>
      <w:proofErr w:type="spellStart"/>
      <w:r w:rsidRPr="004F7E58">
        <w:t>političke</w:t>
      </w:r>
      <w:proofErr w:type="spellEnd"/>
      <w:r w:rsidRPr="004F7E58">
        <w:t xml:space="preserve"> </w:t>
      </w:r>
      <w:proofErr w:type="spellStart"/>
      <w:r w:rsidRPr="004F7E58">
        <w:t>promjene</w:t>
      </w:r>
      <w:proofErr w:type="spellEnd"/>
      <w:r w:rsidR="00865337" w:rsidRPr="004F7E58">
        <w:t xml:space="preserve"> </w:t>
      </w:r>
      <w:proofErr w:type="spellStart"/>
      <w:r w:rsidR="00865337" w:rsidRPr="004F7E58">
        <w:t>i</w:t>
      </w:r>
      <w:proofErr w:type="spellEnd"/>
      <w:r w:rsidR="00865337" w:rsidRPr="004F7E58">
        <w:t xml:space="preserve"> </w:t>
      </w:r>
      <w:proofErr w:type="spellStart"/>
      <w:r w:rsidR="00865337" w:rsidRPr="004F7E58">
        <w:t>izmjene</w:t>
      </w:r>
      <w:proofErr w:type="spellEnd"/>
      <w:r w:rsidR="00865337" w:rsidRPr="004F7E58">
        <w:t xml:space="preserve"> u </w:t>
      </w:r>
      <w:proofErr w:type="spellStart"/>
      <w:r w:rsidR="00865337" w:rsidRPr="004F7E58">
        <w:t>međunarodnim</w:t>
      </w:r>
      <w:proofErr w:type="spellEnd"/>
      <w:r w:rsidR="00865337" w:rsidRPr="004F7E58">
        <w:t xml:space="preserve"> </w:t>
      </w:r>
      <w:proofErr w:type="spellStart"/>
      <w:r w:rsidR="00865337" w:rsidRPr="004F7E58">
        <w:t>standardima</w:t>
      </w:r>
      <w:proofErr w:type="spellEnd"/>
      <w:r w:rsidR="00865337" w:rsidRPr="004F7E58">
        <w:t xml:space="preserve"> u </w:t>
      </w:r>
      <w:proofErr w:type="spellStart"/>
      <w:r w:rsidR="00865337" w:rsidRPr="004F7E58">
        <w:t>oblasti</w:t>
      </w:r>
      <w:proofErr w:type="spellEnd"/>
      <w:r w:rsidR="00865337" w:rsidRPr="004F7E58">
        <w:t xml:space="preserve"> </w:t>
      </w:r>
      <w:proofErr w:type="spellStart"/>
      <w:r w:rsidR="00865337" w:rsidRPr="004F7E58">
        <w:t>javnih</w:t>
      </w:r>
      <w:proofErr w:type="spellEnd"/>
      <w:r w:rsidR="00865337" w:rsidRPr="004F7E58">
        <w:t xml:space="preserve"> </w:t>
      </w:r>
      <w:proofErr w:type="spellStart"/>
      <w:r w:rsidR="00865337" w:rsidRPr="004F7E58">
        <w:t>finansija</w:t>
      </w:r>
      <w:proofErr w:type="spellEnd"/>
      <w:r w:rsidRPr="004F7E58">
        <w:t xml:space="preserve"> </w:t>
      </w:r>
      <w:proofErr w:type="spellStart"/>
      <w:r w:rsidRPr="004F7E58">
        <w:t>koje</w:t>
      </w:r>
      <w:proofErr w:type="spellEnd"/>
      <w:r w:rsidRPr="004F7E58">
        <w:t xml:space="preserve"> za </w:t>
      </w:r>
      <w:proofErr w:type="spellStart"/>
      <w:r w:rsidRPr="004F7E58">
        <w:t>sobom</w:t>
      </w:r>
      <w:proofErr w:type="spellEnd"/>
      <w:r w:rsidRPr="004F7E58">
        <w:t xml:space="preserve"> </w:t>
      </w:r>
      <w:proofErr w:type="spellStart"/>
      <w:r w:rsidRPr="004F7E58">
        <w:t>vuku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promjene</w:t>
      </w:r>
      <w:proofErr w:type="spellEnd"/>
      <w:r w:rsidRPr="004F7E58">
        <w:t xml:space="preserve"> </w:t>
      </w:r>
      <w:proofErr w:type="spellStart"/>
      <w:r w:rsidRPr="004F7E58">
        <w:t>prioriteta</w:t>
      </w:r>
      <w:proofErr w:type="spellEnd"/>
      <w:r w:rsidRPr="004F7E58">
        <w:t xml:space="preserve">, </w:t>
      </w:r>
      <w:proofErr w:type="spellStart"/>
      <w:r w:rsidRPr="004F7E58">
        <w:t>koje</w:t>
      </w:r>
      <w:proofErr w:type="spellEnd"/>
      <w:r w:rsidRPr="004F7E58">
        <w:t xml:space="preserve"> </w:t>
      </w:r>
      <w:proofErr w:type="spellStart"/>
      <w:r w:rsidRPr="004F7E58">
        <w:t>su</w:t>
      </w:r>
      <w:proofErr w:type="spellEnd"/>
      <w:r w:rsidRPr="004F7E58">
        <w:t xml:space="preserve"> </w:t>
      </w:r>
      <w:proofErr w:type="spellStart"/>
      <w:r w:rsidRPr="004F7E58">
        <w:t>opet</w:t>
      </w:r>
      <w:proofErr w:type="spellEnd"/>
      <w:r w:rsidRPr="004F7E58">
        <w:t xml:space="preserve"> </w:t>
      </w:r>
      <w:proofErr w:type="spellStart"/>
      <w:r w:rsidRPr="004F7E58">
        <w:t>najviše</w:t>
      </w:r>
      <w:proofErr w:type="spellEnd"/>
      <w:r w:rsidRPr="004F7E58">
        <w:t xml:space="preserve"> </w:t>
      </w:r>
      <w:proofErr w:type="spellStart"/>
      <w:r w:rsidRPr="004F7E58">
        <w:t>uticale</w:t>
      </w:r>
      <w:proofErr w:type="spellEnd"/>
      <w:r w:rsidRPr="004F7E58">
        <w:t xml:space="preserve"> </w:t>
      </w:r>
      <w:proofErr w:type="spellStart"/>
      <w:r w:rsidRPr="004F7E58">
        <w:t>na</w:t>
      </w:r>
      <w:proofErr w:type="spellEnd"/>
      <w:r w:rsidRPr="004F7E58">
        <w:t xml:space="preserve"> </w:t>
      </w:r>
      <w:proofErr w:type="spellStart"/>
      <w:r w:rsidRPr="004F7E58">
        <w:t>implemetaciju</w:t>
      </w:r>
      <w:proofErr w:type="spellEnd"/>
      <w:r w:rsidRPr="004F7E58">
        <w:t xml:space="preserve"> </w:t>
      </w:r>
      <w:proofErr w:type="spellStart"/>
      <w:r w:rsidRPr="004F7E58">
        <w:t>Stuba</w:t>
      </w:r>
      <w:proofErr w:type="spellEnd"/>
      <w:r w:rsidRPr="004F7E58">
        <w:t xml:space="preserve"> II. </w:t>
      </w:r>
    </w:p>
    <w:p w14:paraId="28BC60F2" w14:textId="2941CFEF" w:rsidR="00B659F0" w:rsidRPr="004F7E58" w:rsidRDefault="00B659F0" w:rsidP="00DD75C8">
      <w:pPr>
        <w:spacing w:line="240" w:lineRule="auto"/>
        <w:jc w:val="both"/>
      </w:pPr>
      <w:r w:rsidRPr="004F7E58">
        <w:t xml:space="preserve">FMF je </w:t>
      </w:r>
      <w:proofErr w:type="spellStart"/>
      <w:r w:rsidRPr="004F7E58">
        <w:t>reagovalo</w:t>
      </w:r>
      <w:proofErr w:type="spellEnd"/>
      <w:r w:rsidRPr="004F7E58">
        <w:t xml:space="preserve"> </w:t>
      </w:r>
      <w:proofErr w:type="spellStart"/>
      <w:r w:rsidRPr="004F7E58">
        <w:t>na</w:t>
      </w:r>
      <w:proofErr w:type="spellEnd"/>
      <w:r w:rsidRPr="004F7E58">
        <w:t xml:space="preserve"> </w:t>
      </w:r>
      <w:proofErr w:type="spellStart"/>
      <w:r w:rsidRPr="004F7E58">
        <w:t>ove</w:t>
      </w:r>
      <w:proofErr w:type="spellEnd"/>
      <w:r w:rsidRPr="004F7E58">
        <w:t xml:space="preserve"> </w:t>
      </w:r>
      <w:proofErr w:type="spellStart"/>
      <w:r w:rsidRPr="004F7E58">
        <w:t>promjene</w:t>
      </w:r>
      <w:proofErr w:type="spellEnd"/>
      <w:r w:rsidRPr="004F7E58">
        <w:t xml:space="preserve"> </w:t>
      </w:r>
      <w:proofErr w:type="spellStart"/>
      <w:r w:rsidRPr="004F7E58">
        <w:t>ažu</w:t>
      </w:r>
      <w:r w:rsidR="00965D49" w:rsidRPr="004F7E58">
        <w:t>r</w:t>
      </w:r>
      <w:r w:rsidRPr="004F7E58">
        <w:t>irajući</w:t>
      </w:r>
      <w:proofErr w:type="spellEnd"/>
      <w:r w:rsidRPr="004F7E58">
        <w:t xml:space="preserve"> </w:t>
      </w:r>
      <w:proofErr w:type="spellStart"/>
      <w:r w:rsidRPr="004F7E58">
        <w:t>svoj</w:t>
      </w:r>
      <w:proofErr w:type="spellEnd"/>
      <w:r w:rsidRPr="004F7E58">
        <w:t xml:space="preserve"> </w:t>
      </w:r>
      <w:proofErr w:type="spellStart"/>
      <w:r w:rsidRPr="004F7E58">
        <w:t>pristup</w:t>
      </w:r>
      <w:proofErr w:type="spellEnd"/>
      <w:r w:rsidRPr="004F7E58">
        <w:t xml:space="preserve"> </w:t>
      </w:r>
      <w:proofErr w:type="spellStart"/>
      <w:r w:rsidRPr="004F7E58">
        <w:t>radu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tome </w:t>
      </w:r>
      <w:proofErr w:type="spellStart"/>
      <w:r w:rsidRPr="004F7E58">
        <w:t>koje</w:t>
      </w:r>
      <w:proofErr w:type="spellEnd"/>
      <w:r w:rsidRPr="004F7E58">
        <w:t xml:space="preserve"> </w:t>
      </w:r>
      <w:proofErr w:type="spellStart"/>
      <w:r w:rsidRPr="004F7E58">
        <w:t>će</w:t>
      </w:r>
      <w:proofErr w:type="spellEnd"/>
      <w:r w:rsidRPr="004F7E58">
        <w:t xml:space="preserve"> se </w:t>
      </w:r>
      <w:proofErr w:type="spellStart"/>
      <w:r w:rsidRPr="004F7E58">
        <w:t>aktivnosti</w:t>
      </w:r>
      <w:proofErr w:type="spellEnd"/>
      <w:r w:rsidRPr="004F7E58">
        <w:t xml:space="preserve"> </w:t>
      </w:r>
      <w:proofErr w:type="spellStart"/>
      <w:r w:rsidRPr="004F7E58">
        <w:t>prioritizirati</w:t>
      </w:r>
      <w:proofErr w:type="spellEnd"/>
      <w:r w:rsidRPr="004F7E58">
        <w:t xml:space="preserve">, </w:t>
      </w:r>
      <w:proofErr w:type="spellStart"/>
      <w:r w:rsidRPr="004F7E58">
        <w:t>kao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daljim</w:t>
      </w:r>
      <w:proofErr w:type="spellEnd"/>
      <w:r w:rsidRPr="004F7E58">
        <w:t xml:space="preserve"> </w:t>
      </w:r>
      <w:proofErr w:type="spellStart"/>
      <w:r w:rsidRPr="004F7E58">
        <w:t>traženjem</w:t>
      </w:r>
      <w:proofErr w:type="spellEnd"/>
      <w:r w:rsidRPr="004F7E58">
        <w:t xml:space="preserve"> </w:t>
      </w:r>
      <w:proofErr w:type="spellStart"/>
      <w:r w:rsidRPr="004F7E58">
        <w:t>donatorskih</w:t>
      </w:r>
      <w:proofErr w:type="spellEnd"/>
      <w:r w:rsidRPr="004F7E58">
        <w:t xml:space="preserve"> </w:t>
      </w:r>
      <w:proofErr w:type="spellStart"/>
      <w:r w:rsidRPr="004F7E58">
        <w:t>sredstava</w:t>
      </w:r>
      <w:proofErr w:type="spellEnd"/>
      <w:r w:rsidRPr="004F7E58">
        <w:t xml:space="preserve"> u </w:t>
      </w:r>
      <w:proofErr w:type="spellStart"/>
      <w:r w:rsidRPr="004F7E58">
        <w:t>izvještajnom</w:t>
      </w:r>
      <w:proofErr w:type="spellEnd"/>
      <w:r w:rsidRPr="004F7E58">
        <w:t xml:space="preserve"> </w:t>
      </w:r>
      <w:proofErr w:type="spellStart"/>
      <w:r w:rsidRPr="004F7E58">
        <w:t>periodu</w:t>
      </w:r>
      <w:proofErr w:type="spellEnd"/>
      <w:r w:rsidRPr="004F7E58">
        <w:t xml:space="preserve">. </w:t>
      </w:r>
    </w:p>
    <w:p w14:paraId="365F5F89" w14:textId="5F8B5A8B" w:rsidR="00631915" w:rsidRPr="004F7E58" w:rsidRDefault="00631915" w:rsidP="00631915">
      <w:pPr>
        <w:spacing w:line="240" w:lineRule="auto"/>
        <w:jc w:val="both"/>
      </w:pPr>
      <w:proofErr w:type="spellStart"/>
      <w:r w:rsidRPr="004F7E58">
        <w:t>Iz</w:t>
      </w:r>
      <w:proofErr w:type="spellEnd"/>
      <w:r w:rsidRPr="004F7E58">
        <w:t xml:space="preserve"> </w:t>
      </w:r>
      <w:proofErr w:type="spellStart"/>
      <w:r w:rsidRPr="004F7E58">
        <w:t>Godišnjeg</w:t>
      </w:r>
      <w:proofErr w:type="spellEnd"/>
      <w:r w:rsidRPr="004F7E58">
        <w:t xml:space="preserve"> </w:t>
      </w:r>
      <w:proofErr w:type="spellStart"/>
      <w:r w:rsidRPr="004F7E58">
        <w:t>akcionog</w:t>
      </w:r>
      <w:proofErr w:type="spellEnd"/>
      <w:r w:rsidRPr="004F7E58">
        <w:t xml:space="preserve"> plana za 202</w:t>
      </w:r>
      <w:r w:rsidR="00131051" w:rsidRPr="004F7E58">
        <w:t>5</w:t>
      </w:r>
      <w:r w:rsidRPr="004F7E58">
        <w:t xml:space="preserve">. </w:t>
      </w:r>
      <w:proofErr w:type="spellStart"/>
      <w:r w:rsidRPr="004F7E58">
        <w:t>godinu</w:t>
      </w:r>
      <w:proofErr w:type="spellEnd"/>
      <w:r w:rsidRPr="004F7E58">
        <w:t xml:space="preserve"> (</w:t>
      </w:r>
      <w:proofErr w:type="spellStart"/>
      <w:r w:rsidRPr="004F7E58">
        <w:t>Prilog</w:t>
      </w:r>
      <w:proofErr w:type="spellEnd"/>
      <w:r w:rsidRPr="004F7E58">
        <w:t xml:space="preserve"> 2) </w:t>
      </w:r>
      <w:proofErr w:type="spellStart"/>
      <w:r w:rsidRPr="004F7E58">
        <w:t>vidljiv</w:t>
      </w:r>
      <w:proofErr w:type="spellEnd"/>
      <w:r w:rsidRPr="004F7E58">
        <w:t xml:space="preserve"> je status </w:t>
      </w:r>
      <w:proofErr w:type="spellStart"/>
      <w:r w:rsidRPr="004F7E58">
        <w:t>aktivnosti</w:t>
      </w:r>
      <w:proofErr w:type="spellEnd"/>
      <w:r w:rsidRPr="004F7E58">
        <w:t xml:space="preserve"> za </w:t>
      </w:r>
      <w:proofErr w:type="spellStart"/>
      <w:r w:rsidRPr="004F7E58">
        <w:t>predstojeći</w:t>
      </w:r>
      <w:proofErr w:type="spellEnd"/>
      <w:r w:rsidRPr="004F7E58">
        <w:t xml:space="preserve"> period 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obrazložene</w:t>
      </w:r>
      <w:proofErr w:type="spellEnd"/>
      <w:r w:rsidRPr="004F7E58">
        <w:t xml:space="preserve"> </w:t>
      </w:r>
      <w:proofErr w:type="spellStart"/>
      <w:r w:rsidRPr="004F7E58">
        <w:t>su</w:t>
      </w:r>
      <w:proofErr w:type="spellEnd"/>
      <w:r w:rsidRPr="004F7E58">
        <w:t xml:space="preserve"> </w:t>
      </w:r>
      <w:proofErr w:type="spellStart"/>
      <w:r w:rsidRPr="004F7E58">
        <w:t>promjene</w:t>
      </w:r>
      <w:proofErr w:type="spellEnd"/>
      <w:r w:rsidRPr="004F7E58">
        <w:t xml:space="preserve"> plana po </w:t>
      </w:r>
      <w:proofErr w:type="spellStart"/>
      <w:r w:rsidRPr="004F7E58">
        <w:t>pojedinačnim</w:t>
      </w:r>
      <w:proofErr w:type="spellEnd"/>
      <w:r w:rsidRPr="004F7E58">
        <w:t xml:space="preserve"> </w:t>
      </w:r>
      <w:proofErr w:type="spellStart"/>
      <w:r w:rsidRPr="004F7E58">
        <w:t>aktivnostima</w:t>
      </w:r>
      <w:proofErr w:type="spellEnd"/>
      <w:r w:rsidR="00965D49" w:rsidRPr="004F7E58">
        <w:t xml:space="preserve">. </w:t>
      </w:r>
    </w:p>
    <w:p w14:paraId="5CFB4242" w14:textId="571A0B13" w:rsidR="00965D49" w:rsidRPr="004F7E58" w:rsidRDefault="00131051" w:rsidP="00631915">
      <w:pPr>
        <w:spacing w:line="240" w:lineRule="auto"/>
        <w:jc w:val="both"/>
      </w:pPr>
      <w:r w:rsidRPr="004F7E58">
        <w:t xml:space="preserve">U </w:t>
      </w:r>
      <w:proofErr w:type="spellStart"/>
      <w:r w:rsidRPr="004F7E58">
        <w:t>toku</w:t>
      </w:r>
      <w:proofErr w:type="spellEnd"/>
      <w:r w:rsidRPr="004F7E58">
        <w:t xml:space="preserve"> 2025. </w:t>
      </w:r>
      <w:proofErr w:type="spellStart"/>
      <w:r w:rsidRPr="004F7E58">
        <w:t>godine</w:t>
      </w:r>
      <w:proofErr w:type="spellEnd"/>
      <w:r w:rsidRPr="004F7E58">
        <w:t xml:space="preserve">, </w:t>
      </w:r>
      <w:proofErr w:type="spellStart"/>
      <w:r w:rsidRPr="004F7E58">
        <w:t>planira</w:t>
      </w:r>
      <w:proofErr w:type="spellEnd"/>
      <w:r w:rsidRPr="004F7E58">
        <w:t xml:space="preserve"> </w:t>
      </w:r>
      <w:r w:rsidR="00965D49" w:rsidRPr="004F7E58">
        <w:t xml:space="preserve">se </w:t>
      </w:r>
      <w:proofErr w:type="spellStart"/>
      <w:r w:rsidR="00965D49" w:rsidRPr="004F7E58">
        <w:t>početak</w:t>
      </w:r>
      <w:proofErr w:type="spellEnd"/>
      <w:r w:rsidR="00965D49" w:rsidRPr="004F7E58">
        <w:t xml:space="preserve"> </w:t>
      </w:r>
      <w:proofErr w:type="spellStart"/>
      <w:r w:rsidR="00965D49" w:rsidRPr="004F7E58">
        <w:t>rada</w:t>
      </w:r>
      <w:proofErr w:type="spellEnd"/>
      <w:r w:rsidR="00965D49" w:rsidRPr="004F7E58">
        <w:t xml:space="preserve"> </w:t>
      </w:r>
      <w:proofErr w:type="spellStart"/>
      <w:r w:rsidR="00965D49" w:rsidRPr="004F7E58">
        <w:t>na</w:t>
      </w:r>
      <w:proofErr w:type="spellEnd"/>
      <w:r w:rsidR="00965D49" w:rsidRPr="004F7E58">
        <w:t xml:space="preserve"> </w:t>
      </w:r>
      <w:proofErr w:type="spellStart"/>
      <w:r w:rsidR="00965D49" w:rsidRPr="004F7E58">
        <w:t>novoj</w:t>
      </w:r>
      <w:proofErr w:type="spellEnd"/>
      <w:r w:rsidR="00965D49" w:rsidRPr="004F7E58">
        <w:t xml:space="preserve"> </w:t>
      </w:r>
      <w:proofErr w:type="spellStart"/>
      <w:r w:rsidR="00965D49" w:rsidRPr="004F7E58">
        <w:t>Strategiji</w:t>
      </w:r>
      <w:proofErr w:type="spellEnd"/>
      <w:r w:rsidR="00965D49" w:rsidRPr="004F7E58">
        <w:t xml:space="preserve"> za </w:t>
      </w:r>
      <w:proofErr w:type="spellStart"/>
      <w:r w:rsidR="00965D49" w:rsidRPr="004F7E58">
        <w:t>reformu</w:t>
      </w:r>
      <w:proofErr w:type="spellEnd"/>
      <w:r w:rsidR="00965D49" w:rsidRPr="004F7E58">
        <w:t xml:space="preserve"> </w:t>
      </w:r>
      <w:proofErr w:type="spellStart"/>
      <w:r w:rsidR="00965D49" w:rsidRPr="004F7E58">
        <w:t>javnih</w:t>
      </w:r>
      <w:proofErr w:type="spellEnd"/>
      <w:r w:rsidR="00965D49" w:rsidRPr="004F7E58">
        <w:t xml:space="preserve"> </w:t>
      </w:r>
      <w:proofErr w:type="spellStart"/>
      <w:r w:rsidR="00965D49" w:rsidRPr="004F7E58">
        <w:t>finansija</w:t>
      </w:r>
      <w:proofErr w:type="spellEnd"/>
      <w:r w:rsidRPr="004F7E58">
        <w:t xml:space="preserve"> za period 2026-2030.</w:t>
      </w:r>
      <w:r w:rsidR="00965D49" w:rsidRPr="004F7E58">
        <w:t xml:space="preserve"> Za </w:t>
      </w:r>
      <w:proofErr w:type="spellStart"/>
      <w:r w:rsidR="00965D49" w:rsidRPr="004F7E58">
        <w:t>ovaj</w:t>
      </w:r>
      <w:proofErr w:type="spellEnd"/>
      <w:r w:rsidR="00965D49" w:rsidRPr="004F7E58">
        <w:t xml:space="preserve"> </w:t>
      </w:r>
      <w:proofErr w:type="spellStart"/>
      <w:r w:rsidR="00965D49" w:rsidRPr="004F7E58">
        <w:t>proces</w:t>
      </w:r>
      <w:proofErr w:type="spellEnd"/>
      <w:r w:rsidR="00965D49" w:rsidRPr="004F7E58">
        <w:t xml:space="preserve"> </w:t>
      </w:r>
      <w:proofErr w:type="spellStart"/>
      <w:r w:rsidR="00965D49" w:rsidRPr="004F7E58">
        <w:t>će</w:t>
      </w:r>
      <w:proofErr w:type="spellEnd"/>
      <w:r w:rsidR="00965D49" w:rsidRPr="004F7E58">
        <w:t xml:space="preserve"> </w:t>
      </w:r>
      <w:proofErr w:type="spellStart"/>
      <w:r w:rsidR="00965D49" w:rsidRPr="004F7E58">
        <w:t>biti</w:t>
      </w:r>
      <w:proofErr w:type="spellEnd"/>
      <w:r w:rsidR="00965D49" w:rsidRPr="004F7E58">
        <w:t xml:space="preserve"> </w:t>
      </w:r>
      <w:proofErr w:type="spellStart"/>
      <w:r w:rsidR="00965D49" w:rsidRPr="004F7E58">
        <w:t>potrebno</w:t>
      </w:r>
      <w:proofErr w:type="spellEnd"/>
      <w:r w:rsidR="00965D49" w:rsidRPr="004F7E58">
        <w:t xml:space="preserve"> </w:t>
      </w:r>
      <w:proofErr w:type="spellStart"/>
      <w:r w:rsidR="00965D49" w:rsidRPr="004F7E58">
        <w:t>izdvojiti</w:t>
      </w:r>
      <w:proofErr w:type="spellEnd"/>
      <w:r w:rsidR="00965D49" w:rsidRPr="004F7E58">
        <w:t xml:space="preserve"> </w:t>
      </w:r>
      <w:proofErr w:type="spellStart"/>
      <w:r w:rsidR="00965D49" w:rsidRPr="004F7E58">
        <w:t>vrijeme</w:t>
      </w:r>
      <w:proofErr w:type="spellEnd"/>
      <w:r w:rsidR="00965D49" w:rsidRPr="004F7E58">
        <w:t xml:space="preserve"> </w:t>
      </w:r>
      <w:proofErr w:type="spellStart"/>
      <w:r w:rsidR="00965D49" w:rsidRPr="004F7E58">
        <w:t>i</w:t>
      </w:r>
      <w:proofErr w:type="spellEnd"/>
      <w:r w:rsidR="00965D49" w:rsidRPr="004F7E58">
        <w:t xml:space="preserve"> </w:t>
      </w:r>
      <w:proofErr w:type="spellStart"/>
      <w:r w:rsidR="00965D49" w:rsidRPr="004F7E58">
        <w:t>kapacitete</w:t>
      </w:r>
      <w:proofErr w:type="spellEnd"/>
      <w:r w:rsidR="00965D49" w:rsidRPr="004F7E58">
        <w:t xml:space="preserve"> </w:t>
      </w:r>
      <w:proofErr w:type="spellStart"/>
      <w:r w:rsidR="00965D49" w:rsidRPr="004F7E58">
        <w:t>unutar</w:t>
      </w:r>
      <w:proofErr w:type="spellEnd"/>
      <w:r w:rsidR="00965D49" w:rsidRPr="004F7E58">
        <w:t xml:space="preserve"> FMF da bi se </w:t>
      </w:r>
      <w:proofErr w:type="spellStart"/>
      <w:r w:rsidR="00965D49" w:rsidRPr="004F7E58">
        <w:t>omogućilo</w:t>
      </w:r>
      <w:proofErr w:type="spellEnd"/>
      <w:r w:rsidR="00965D49" w:rsidRPr="004F7E58">
        <w:t xml:space="preserve"> da nova </w:t>
      </w:r>
      <w:proofErr w:type="spellStart"/>
      <w:r w:rsidR="00965D49" w:rsidRPr="004F7E58">
        <w:t>Strategija</w:t>
      </w:r>
      <w:proofErr w:type="spellEnd"/>
      <w:r w:rsidR="00965D49" w:rsidRPr="004F7E58">
        <w:t xml:space="preserve"> </w:t>
      </w:r>
      <w:proofErr w:type="spellStart"/>
      <w:r w:rsidR="00965D49" w:rsidRPr="004F7E58">
        <w:t>uključuje</w:t>
      </w:r>
      <w:proofErr w:type="spellEnd"/>
      <w:r w:rsidR="00965D49" w:rsidRPr="004F7E58">
        <w:t xml:space="preserve"> u </w:t>
      </w:r>
      <w:proofErr w:type="spellStart"/>
      <w:r w:rsidR="00965D49" w:rsidRPr="004F7E58">
        <w:t>sebe</w:t>
      </w:r>
      <w:proofErr w:type="spellEnd"/>
      <w:r w:rsidR="00965D49" w:rsidRPr="004F7E58">
        <w:t xml:space="preserve"> </w:t>
      </w:r>
      <w:proofErr w:type="spellStart"/>
      <w:r w:rsidR="00CB5438" w:rsidRPr="004F7E58">
        <w:t>stečena</w:t>
      </w:r>
      <w:proofErr w:type="spellEnd"/>
      <w:r w:rsidR="00CB5438" w:rsidRPr="004F7E58">
        <w:t xml:space="preserve"> </w:t>
      </w:r>
      <w:proofErr w:type="spellStart"/>
      <w:r w:rsidR="00CB5438" w:rsidRPr="004F7E58">
        <w:t>iskustva</w:t>
      </w:r>
      <w:proofErr w:type="spellEnd"/>
      <w:r w:rsidR="00965D49" w:rsidRPr="004F7E58">
        <w:t xml:space="preserve"> </w:t>
      </w:r>
      <w:proofErr w:type="spellStart"/>
      <w:r w:rsidR="00965D49" w:rsidRPr="004F7E58">
        <w:t>iz</w:t>
      </w:r>
      <w:proofErr w:type="spellEnd"/>
      <w:r w:rsidR="00965D49" w:rsidRPr="004F7E58">
        <w:t xml:space="preserve"> </w:t>
      </w:r>
      <w:proofErr w:type="spellStart"/>
      <w:r w:rsidR="00965D49" w:rsidRPr="004F7E58">
        <w:t>procesa</w:t>
      </w:r>
      <w:proofErr w:type="spellEnd"/>
      <w:r w:rsidR="00965D49" w:rsidRPr="004F7E58">
        <w:t xml:space="preserve"> </w:t>
      </w:r>
      <w:proofErr w:type="spellStart"/>
      <w:r w:rsidR="00965D49" w:rsidRPr="004F7E58">
        <w:t>implementacije</w:t>
      </w:r>
      <w:proofErr w:type="spellEnd"/>
      <w:r w:rsidR="00965D49" w:rsidRPr="004F7E58">
        <w:t xml:space="preserve"> </w:t>
      </w:r>
      <w:proofErr w:type="spellStart"/>
      <w:r w:rsidR="00965D49" w:rsidRPr="004F7E58">
        <w:t>postojeće</w:t>
      </w:r>
      <w:proofErr w:type="spellEnd"/>
      <w:r w:rsidR="00965D49" w:rsidRPr="004F7E58">
        <w:t xml:space="preserve"> </w:t>
      </w:r>
      <w:proofErr w:type="spellStart"/>
      <w:r w:rsidR="00965D49" w:rsidRPr="004F7E58">
        <w:t>Strategije</w:t>
      </w:r>
      <w:proofErr w:type="spellEnd"/>
      <w:r w:rsidR="00965D49" w:rsidRPr="004F7E58">
        <w:t xml:space="preserve">. </w:t>
      </w:r>
    </w:p>
    <w:p w14:paraId="194749DE" w14:textId="676AFAFF" w:rsidR="002C5608" w:rsidRPr="004F7E58" w:rsidRDefault="00965D49" w:rsidP="00631915">
      <w:pPr>
        <w:spacing w:line="240" w:lineRule="auto"/>
        <w:jc w:val="both"/>
      </w:pPr>
      <w:r w:rsidRPr="004F7E58">
        <w:t xml:space="preserve">To </w:t>
      </w:r>
      <w:proofErr w:type="spellStart"/>
      <w:r w:rsidRPr="004F7E58">
        <w:t>bi</w:t>
      </w:r>
      <w:proofErr w:type="spellEnd"/>
      <w:r w:rsidRPr="004F7E58">
        <w:t xml:space="preserve"> </w:t>
      </w:r>
      <w:proofErr w:type="spellStart"/>
      <w:r w:rsidRPr="004F7E58">
        <w:t>uključivalo</w:t>
      </w:r>
      <w:proofErr w:type="spellEnd"/>
      <w:r w:rsidRPr="004F7E58">
        <w:t xml:space="preserve"> </w:t>
      </w:r>
      <w:proofErr w:type="spellStart"/>
      <w:r w:rsidRPr="004F7E58">
        <w:t>potrebu</w:t>
      </w:r>
      <w:proofErr w:type="spellEnd"/>
      <w:r w:rsidRPr="004F7E58">
        <w:t xml:space="preserve"> da se </w:t>
      </w:r>
      <w:proofErr w:type="spellStart"/>
      <w:r w:rsidRPr="004F7E58">
        <w:t>prvi</w:t>
      </w:r>
      <w:proofErr w:type="spellEnd"/>
      <w:r w:rsidRPr="004F7E58">
        <w:t xml:space="preserve"> </w:t>
      </w:r>
      <w:proofErr w:type="spellStart"/>
      <w:r w:rsidRPr="004F7E58">
        <w:t>rokovi</w:t>
      </w:r>
      <w:proofErr w:type="spellEnd"/>
      <w:r w:rsidRPr="004F7E58">
        <w:t xml:space="preserve"> za </w:t>
      </w:r>
      <w:proofErr w:type="spellStart"/>
      <w:r w:rsidRPr="004F7E58">
        <w:t>realizaciju</w:t>
      </w:r>
      <w:proofErr w:type="spellEnd"/>
      <w:r w:rsidRPr="004F7E58">
        <w:t xml:space="preserve"> </w:t>
      </w:r>
      <w:proofErr w:type="spellStart"/>
      <w:r w:rsidRPr="004F7E58">
        <w:t>postavljaju</w:t>
      </w:r>
      <w:proofErr w:type="spellEnd"/>
      <w:r w:rsidRPr="004F7E58">
        <w:t xml:space="preserve"> </w:t>
      </w:r>
      <w:proofErr w:type="spellStart"/>
      <w:r w:rsidRPr="004F7E58">
        <w:t>uvažavajući</w:t>
      </w:r>
      <w:proofErr w:type="spellEnd"/>
      <w:r w:rsidRPr="004F7E58">
        <w:t xml:space="preserve"> </w:t>
      </w:r>
      <w:proofErr w:type="spellStart"/>
      <w:r w:rsidRPr="004F7E58">
        <w:t>izazove</w:t>
      </w:r>
      <w:proofErr w:type="spellEnd"/>
      <w:r w:rsidRPr="004F7E58">
        <w:t xml:space="preserve"> – </w:t>
      </w:r>
      <w:proofErr w:type="spellStart"/>
      <w:r w:rsidRPr="004F7E58">
        <w:t>prvi</w:t>
      </w:r>
      <w:proofErr w:type="spellEnd"/>
      <w:r w:rsidRPr="004F7E58">
        <w:t xml:space="preserve"> </w:t>
      </w:r>
      <w:proofErr w:type="spellStart"/>
      <w:r w:rsidRPr="004F7E58">
        <w:t>akcioni</w:t>
      </w:r>
      <w:proofErr w:type="spellEnd"/>
      <w:r w:rsidRPr="004F7E58">
        <w:t xml:space="preserve"> plan </w:t>
      </w:r>
      <w:proofErr w:type="spellStart"/>
      <w:r w:rsidR="004C4174">
        <w:t>trenutne</w:t>
      </w:r>
      <w:proofErr w:type="spellEnd"/>
      <w:r w:rsidR="004C4174">
        <w:t xml:space="preserve"> </w:t>
      </w:r>
      <w:proofErr w:type="spellStart"/>
      <w:r w:rsidR="004C4174">
        <w:t>Strategije</w:t>
      </w:r>
      <w:proofErr w:type="spellEnd"/>
      <w:r w:rsidR="004C4174">
        <w:t xml:space="preserve"> </w:t>
      </w:r>
      <w:r w:rsidRPr="004F7E58">
        <w:t xml:space="preserve">je </w:t>
      </w:r>
      <w:proofErr w:type="spellStart"/>
      <w:r w:rsidRPr="004F7E58">
        <w:t>imao</w:t>
      </w:r>
      <w:proofErr w:type="spellEnd"/>
      <w:r w:rsidRPr="004F7E58">
        <w:t xml:space="preserve"> </w:t>
      </w:r>
      <w:proofErr w:type="spellStart"/>
      <w:r w:rsidRPr="004F7E58">
        <w:t>veliku</w:t>
      </w:r>
      <w:proofErr w:type="spellEnd"/>
      <w:r w:rsidRPr="004F7E58">
        <w:t xml:space="preserve"> </w:t>
      </w:r>
      <w:proofErr w:type="spellStart"/>
      <w:r w:rsidRPr="004F7E58">
        <w:t>stopu</w:t>
      </w:r>
      <w:proofErr w:type="spellEnd"/>
      <w:r w:rsidRPr="004F7E58">
        <w:t xml:space="preserve"> </w:t>
      </w:r>
      <w:proofErr w:type="spellStart"/>
      <w:r w:rsidRPr="004F7E58">
        <w:t>neispunjenjih</w:t>
      </w:r>
      <w:proofErr w:type="spellEnd"/>
      <w:r w:rsidRPr="004F7E58">
        <w:t xml:space="preserve"> </w:t>
      </w:r>
      <w:proofErr w:type="spellStart"/>
      <w:r w:rsidRPr="004F7E58">
        <w:t>aktivnosti</w:t>
      </w:r>
      <w:proofErr w:type="spellEnd"/>
      <w:r w:rsidRPr="004F7E58">
        <w:t xml:space="preserve"> </w:t>
      </w:r>
      <w:proofErr w:type="spellStart"/>
      <w:r w:rsidRPr="004F7E58">
        <w:t>jer</w:t>
      </w:r>
      <w:proofErr w:type="spellEnd"/>
      <w:r w:rsidRPr="004F7E58">
        <w:t xml:space="preserve"> </w:t>
      </w:r>
      <w:proofErr w:type="spellStart"/>
      <w:r w:rsidRPr="004F7E58">
        <w:t>su</w:t>
      </w:r>
      <w:proofErr w:type="spellEnd"/>
      <w:r w:rsidRPr="004F7E58">
        <w:t xml:space="preserve"> </w:t>
      </w:r>
      <w:proofErr w:type="spellStart"/>
      <w:r w:rsidRPr="004F7E58">
        <w:t>ciljevi</w:t>
      </w:r>
      <w:proofErr w:type="spellEnd"/>
      <w:r w:rsidRPr="004F7E58">
        <w:t xml:space="preserve"> </w:t>
      </w:r>
      <w:proofErr w:type="spellStart"/>
      <w:r w:rsidRPr="004F7E58">
        <w:t>vrlo</w:t>
      </w:r>
      <w:proofErr w:type="spellEnd"/>
      <w:r w:rsidRPr="004F7E58">
        <w:t xml:space="preserve"> </w:t>
      </w:r>
      <w:proofErr w:type="spellStart"/>
      <w:r w:rsidRPr="004F7E58">
        <w:t>ambiciozno</w:t>
      </w:r>
      <w:proofErr w:type="spellEnd"/>
      <w:r w:rsidRPr="004F7E58">
        <w:t xml:space="preserve"> </w:t>
      </w:r>
      <w:proofErr w:type="spellStart"/>
      <w:r w:rsidRPr="004F7E58">
        <w:t>postavljeni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očekivalo</w:t>
      </w:r>
      <w:proofErr w:type="spellEnd"/>
      <w:r w:rsidRPr="004F7E58">
        <w:t xml:space="preserve"> se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brže</w:t>
      </w:r>
      <w:proofErr w:type="spellEnd"/>
      <w:r w:rsidRPr="004F7E58">
        <w:t xml:space="preserve"> </w:t>
      </w:r>
      <w:proofErr w:type="spellStart"/>
      <w:r w:rsidRPr="004F7E58">
        <w:t>zapošljavanje</w:t>
      </w:r>
      <w:proofErr w:type="spellEnd"/>
      <w:r w:rsidRPr="004F7E58">
        <w:t xml:space="preserve">,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više</w:t>
      </w:r>
      <w:proofErr w:type="spellEnd"/>
      <w:r w:rsidRPr="004F7E58">
        <w:t xml:space="preserve"> </w:t>
      </w:r>
      <w:proofErr w:type="spellStart"/>
      <w:r w:rsidRPr="004F7E58">
        <w:t>donatorske</w:t>
      </w:r>
      <w:proofErr w:type="spellEnd"/>
      <w:r w:rsidRPr="004F7E58">
        <w:t xml:space="preserve"> </w:t>
      </w:r>
      <w:proofErr w:type="spellStart"/>
      <w:r w:rsidRPr="004F7E58">
        <w:t>podrške</w:t>
      </w:r>
      <w:proofErr w:type="spellEnd"/>
      <w:r w:rsidRPr="004F7E58">
        <w:t xml:space="preserve">. </w:t>
      </w:r>
    </w:p>
    <w:p w14:paraId="20D67133" w14:textId="76B926BD" w:rsidR="00965D49" w:rsidRPr="004F7E58" w:rsidRDefault="00965D49" w:rsidP="00631915">
      <w:pPr>
        <w:spacing w:line="240" w:lineRule="auto"/>
        <w:jc w:val="both"/>
      </w:pPr>
      <w:r w:rsidRPr="004F7E58">
        <w:t xml:space="preserve">Pored toga, </w:t>
      </w:r>
      <w:proofErr w:type="spellStart"/>
      <w:r w:rsidRPr="004F7E58">
        <w:t>proces</w:t>
      </w:r>
      <w:proofErr w:type="spellEnd"/>
      <w:r w:rsidRPr="004F7E58">
        <w:t xml:space="preserve"> </w:t>
      </w:r>
      <w:proofErr w:type="spellStart"/>
      <w:r w:rsidRPr="004F7E58">
        <w:t>pristupanja</w:t>
      </w:r>
      <w:proofErr w:type="spellEnd"/>
      <w:r w:rsidRPr="004F7E58">
        <w:t xml:space="preserve"> EU </w:t>
      </w:r>
      <w:proofErr w:type="spellStart"/>
      <w:r w:rsidRPr="004F7E58">
        <w:t>nosi</w:t>
      </w:r>
      <w:proofErr w:type="spellEnd"/>
      <w:r w:rsidRPr="004F7E58">
        <w:t xml:space="preserve"> </w:t>
      </w:r>
      <w:proofErr w:type="spellStart"/>
      <w:r w:rsidRPr="004F7E58">
        <w:t>svoje</w:t>
      </w:r>
      <w:proofErr w:type="spellEnd"/>
      <w:r w:rsidRPr="004F7E58">
        <w:t xml:space="preserve"> </w:t>
      </w:r>
      <w:proofErr w:type="spellStart"/>
      <w:r w:rsidRPr="004F7E58">
        <w:t>izazove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novi</w:t>
      </w:r>
      <w:proofErr w:type="spellEnd"/>
      <w:r w:rsidRPr="004F7E58">
        <w:t xml:space="preserve"> status </w:t>
      </w:r>
      <w:proofErr w:type="spellStart"/>
      <w:r w:rsidRPr="004F7E58">
        <w:t>Bosne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Hercegovine</w:t>
      </w:r>
      <w:proofErr w:type="spellEnd"/>
      <w:r w:rsidRPr="004F7E58">
        <w:t xml:space="preserve"> </w:t>
      </w:r>
      <w:proofErr w:type="spellStart"/>
      <w:r w:rsidRPr="004F7E58">
        <w:t>će</w:t>
      </w:r>
      <w:proofErr w:type="spellEnd"/>
      <w:r w:rsidRPr="004F7E58">
        <w:t xml:space="preserve"> </w:t>
      </w:r>
      <w:proofErr w:type="spellStart"/>
      <w:r w:rsidRPr="004F7E58">
        <w:t>zahtijevati</w:t>
      </w:r>
      <w:proofErr w:type="spellEnd"/>
      <w:r w:rsidRPr="004F7E58">
        <w:t xml:space="preserve"> </w:t>
      </w:r>
      <w:proofErr w:type="spellStart"/>
      <w:r w:rsidRPr="004F7E58">
        <w:t>dodatne</w:t>
      </w:r>
      <w:proofErr w:type="spellEnd"/>
      <w:r w:rsidRPr="004F7E58">
        <w:t xml:space="preserve"> </w:t>
      </w:r>
      <w:proofErr w:type="spellStart"/>
      <w:r w:rsidRPr="004F7E58">
        <w:t>napore</w:t>
      </w:r>
      <w:proofErr w:type="spellEnd"/>
      <w:r w:rsidRPr="004F7E58">
        <w:t xml:space="preserve">, </w:t>
      </w:r>
      <w:proofErr w:type="spellStart"/>
      <w:r w:rsidRPr="004F7E58">
        <w:t>mada</w:t>
      </w:r>
      <w:proofErr w:type="spellEnd"/>
      <w:r w:rsidRPr="004F7E58">
        <w:t xml:space="preserve"> </w:t>
      </w:r>
      <w:proofErr w:type="spellStart"/>
      <w:r w:rsidRPr="004F7E58">
        <w:t>će</w:t>
      </w:r>
      <w:proofErr w:type="spellEnd"/>
      <w:r w:rsidRPr="004F7E58">
        <w:t xml:space="preserve"> se </w:t>
      </w:r>
      <w:proofErr w:type="spellStart"/>
      <w:r w:rsidRPr="004F7E58">
        <w:t>otvoriti</w:t>
      </w:r>
      <w:proofErr w:type="spellEnd"/>
      <w:r w:rsidRPr="004F7E58">
        <w:t xml:space="preserve"> </w:t>
      </w:r>
      <w:proofErr w:type="spellStart"/>
      <w:r w:rsidR="002C5608" w:rsidRPr="004F7E58">
        <w:t>i</w:t>
      </w:r>
      <w:proofErr w:type="spellEnd"/>
      <w:r w:rsidR="002C5608" w:rsidRPr="004F7E58">
        <w:t xml:space="preserve"> </w:t>
      </w:r>
      <w:proofErr w:type="spellStart"/>
      <w:r w:rsidRPr="004F7E58">
        <w:t>nove</w:t>
      </w:r>
      <w:proofErr w:type="spellEnd"/>
      <w:r w:rsidRPr="004F7E58">
        <w:t xml:space="preserve"> </w:t>
      </w:r>
      <w:proofErr w:type="spellStart"/>
      <w:r w:rsidRPr="004F7E58">
        <w:t>mogućnosti</w:t>
      </w:r>
      <w:proofErr w:type="spellEnd"/>
      <w:r w:rsidRPr="004F7E58">
        <w:t xml:space="preserve"> za </w:t>
      </w:r>
      <w:proofErr w:type="spellStart"/>
      <w:r w:rsidRPr="004F7E58">
        <w:t>unaprjeđenja</w:t>
      </w:r>
      <w:proofErr w:type="spellEnd"/>
      <w:r w:rsidRPr="004F7E58">
        <w:t xml:space="preserve">. </w:t>
      </w:r>
    </w:p>
    <w:p w14:paraId="3165627C" w14:textId="49806F02" w:rsidR="00631915" w:rsidRPr="004F7E58" w:rsidRDefault="00631915" w:rsidP="00631915">
      <w:pPr>
        <w:spacing w:line="240" w:lineRule="auto"/>
        <w:jc w:val="both"/>
      </w:pPr>
      <w:r w:rsidRPr="004F7E58">
        <w:t xml:space="preserve">FMF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ostale</w:t>
      </w:r>
      <w:proofErr w:type="spellEnd"/>
      <w:r w:rsidRPr="004F7E58">
        <w:t xml:space="preserve"> </w:t>
      </w:r>
      <w:proofErr w:type="spellStart"/>
      <w:r w:rsidRPr="004F7E58">
        <w:t>institucije</w:t>
      </w:r>
      <w:proofErr w:type="spellEnd"/>
      <w:r w:rsidRPr="004F7E58">
        <w:t xml:space="preserve"> </w:t>
      </w:r>
      <w:proofErr w:type="spellStart"/>
      <w:r w:rsidRPr="004F7E58">
        <w:t>uključene</w:t>
      </w:r>
      <w:proofErr w:type="spellEnd"/>
      <w:r w:rsidRPr="004F7E58">
        <w:t xml:space="preserve"> u </w:t>
      </w:r>
      <w:proofErr w:type="spellStart"/>
      <w:r w:rsidRPr="004F7E58">
        <w:t>provođenje</w:t>
      </w:r>
      <w:proofErr w:type="spellEnd"/>
      <w:r w:rsidRPr="004F7E58">
        <w:t xml:space="preserve"> </w:t>
      </w:r>
      <w:proofErr w:type="spellStart"/>
      <w:r w:rsidRPr="004F7E58">
        <w:t>Strategije</w:t>
      </w:r>
      <w:proofErr w:type="spellEnd"/>
      <w:r w:rsidRPr="004F7E58">
        <w:t xml:space="preserve"> </w:t>
      </w:r>
      <w:proofErr w:type="spellStart"/>
      <w:r w:rsidRPr="004F7E58">
        <w:t>će</w:t>
      </w:r>
      <w:proofErr w:type="spellEnd"/>
      <w:r w:rsidRPr="004F7E58">
        <w:t xml:space="preserve"> </w:t>
      </w:r>
      <w:proofErr w:type="spellStart"/>
      <w:r w:rsidRPr="004F7E58">
        <w:t>nastaviti</w:t>
      </w:r>
      <w:proofErr w:type="spellEnd"/>
      <w:r w:rsidRPr="004F7E58">
        <w:t xml:space="preserve"> </w:t>
      </w:r>
      <w:proofErr w:type="spellStart"/>
      <w:r w:rsidRPr="004F7E58">
        <w:t>raditi</w:t>
      </w:r>
      <w:proofErr w:type="spellEnd"/>
      <w:r w:rsidRPr="004F7E58">
        <w:t xml:space="preserve"> </w:t>
      </w:r>
      <w:proofErr w:type="spellStart"/>
      <w:r w:rsidRPr="004F7E58">
        <w:t>na</w:t>
      </w:r>
      <w:proofErr w:type="spellEnd"/>
      <w:r w:rsidRPr="004F7E58">
        <w:t xml:space="preserve"> </w:t>
      </w:r>
      <w:proofErr w:type="spellStart"/>
      <w:r w:rsidRPr="004F7E58">
        <w:t>ublažavanju</w:t>
      </w:r>
      <w:proofErr w:type="spellEnd"/>
      <w:r w:rsidRPr="004F7E58">
        <w:t xml:space="preserve"> </w:t>
      </w:r>
      <w:proofErr w:type="spellStart"/>
      <w:r w:rsidRPr="004F7E58">
        <w:t>rizika</w:t>
      </w:r>
      <w:proofErr w:type="spellEnd"/>
      <w:r w:rsidRPr="004F7E58">
        <w:t xml:space="preserve"> za </w:t>
      </w:r>
      <w:proofErr w:type="spellStart"/>
      <w:r w:rsidRPr="004F7E58">
        <w:t>implementaciju</w:t>
      </w:r>
      <w:proofErr w:type="spellEnd"/>
      <w:r w:rsidRPr="004F7E58">
        <w:t xml:space="preserve"> </w:t>
      </w:r>
      <w:proofErr w:type="spellStart"/>
      <w:r w:rsidRPr="004F7E58">
        <w:t>aktivnosti</w:t>
      </w:r>
      <w:proofErr w:type="spellEnd"/>
      <w:r w:rsidRPr="004F7E58">
        <w:t xml:space="preserve"> </w:t>
      </w:r>
      <w:proofErr w:type="spellStart"/>
      <w:r w:rsidRPr="004F7E58">
        <w:t>i</w:t>
      </w:r>
      <w:proofErr w:type="spellEnd"/>
      <w:r w:rsidRPr="004F7E58">
        <w:t xml:space="preserve"> </w:t>
      </w:r>
      <w:proofErr w:type="spellStart"/>
      <w:r w:rsidRPr="004F7E58">
        <w:t>ostvarenja</w:t>
      </w:r>
      <w:proofErr w:type="spellEnd"/>
      <w:r w:rsidRPr="004F7E58">
        <w:t xml:space="preserve"> </w:t>
      </w:r>
      <w:proofErr w:type="spellStart"/>
      <w:r w:rsidRPr="004F7E58">
        <w:t>rezultata</w:t>
      </w:r>
      <w:proofErr w:type="spellEnd"/>
      <w:r w:rsidRPr="004F7E58">
        <w:t xml:space="preserve"> </w:t>
      </w:r>
      <w:proofErr w:type="spellStart"/>
      <w:r w:rsidRPr="004F7E58">
        <w:t>tokom</w:t>
      </w:r>
      <w:proofErr w:type="spellEnd"/>
      <w:r w:rsidRPr="004F7E58">
        <w:t xml:space="preserve"> 202</w:t>
      </w:r>
      <w:r w:rsidR="00131051" w:rsidRPr="004F7E58">
        <w:t>5</w:t>
      </w:r>
      <w:r w:rsidRPr="004F7E58">
        <w:t xml:space="preserve">. </w:t>
      </w:r>
      <w:proofErr w:type="spellStart"/>
      <w:r w:rsidRPr="004F7E58">
        <w:t>godine</w:t>
      </w:r>
      <w:proofErr w:type="spellEnd"/>
      <w:r w:rsidRPr="004F7E58">
        <w:t>.</w:t>
      </w:r>
    </w:p>
    <w:p w14:paraId="59BD62BF" w14:textId="4193C2FC" w:rsidR="00EF5D05" w:rsidRPr="004F7E58" w:rsidRDefault="00EF5D05" w:rsidP="00072E68">
      <w:pPr>
        <w:spacing w:line="240" w:lineRule="auto"/>
        <w:jc w:val="both"/>
        <w:sectPr w:rsidR="00EF5D05" w:rsidRPr="004F7E58" w:rsidSect="00921027">
          <w:footerReference w:type="default" r:id="rId2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49C1660" w14:textId="15B67B12" w:rsidR="00FB58E7" w:rsidRPr="004F7E58" w:rsidRDefault="00FB58E7" w:rsidP="00FB58E7">
      <w:pPr>
        <w:pStyle w:val="Heading1"/>
        <w:rPr>
          <w:b/>
          <w:color w:val="C00000"/>
        </w:rPr>
      </w:pPr>
      <w:bookmarkStart w:id="40" w:name="_Toc214450245"/>
      <w:proofErr w:type="spellStart"/>
      <w:r w:rsidRPr="004F7E58">
        <w:rPr>
          <w:b/>
          <w:color w:val="C00000"/>
        </w:rPr>
        <w:lastRenderedPageBreak/>
        <w:t>Prilog</w:t>
      </w:r>
      <w:proofErr w:type="spellEnd"/>
      <w:r w:rsidRPr="004F7E58">
        <w:rPr>
          <w:b/>
          <w:color w:val="C00000"/>
        </w:rPr>
        <w:t xml:space="preserve"> I. </w:t>
      </w:r>
      <w:proofErr w:type="spellStart"/>
      <w:r w:rsidRPr="004F7E58">
        <w:rPr>
          <w:b/>
          <w:color w:val="C00000"/>
        </w:rPr>
        <w:t>Pregled</w:t>
      </w:r>
      <w:proofErr w:type="spellEnd"/>
      <w:r w:rsidRPr="004F7E58">
        <w:rPr>
          <w:b/>
          <w:color w:val="C00000"/>
        </w:rPr>
        <w:t xml:space="preserve"> </w:t>
      </w:r>
      <w:proofErr w:type="spellStart"/>
      <w:r w:rsidRPr="004F7E58">
        <w:rPr>
          <w:b/>
          <w:color w:val="C00000"/>
        </w:rPr>
        <w:t>statusa</w:t>
      </w:r>
      <w:proofErr w:type="spellEnd"/>
      <w:r w:rsidRPr="004F7E58">
        <w:rPr>
          <w:b/>
          <w:color w:val="C00000"/>
        </w:rPr>
        <w:t xml:space="preserve"> </w:t>
      </w:r>
      <w:proofErr w:type="spellStart"/>
      <w:r w:rsidRPr="004F7E58">
        <w:rPr>
          <w:b/>
          <w:color w:val="C00000"/>
        </w:rPr>
        <w:t>aktivnosti</w:t>
      </w:r>
      <w:proofErr w:type="spellEnd"/>
      <w:r w:rsidRPr="004F7E58">
        <w:rPr>
          <w:b/>
          <w:color w:val="C00000"/>
        </w:rPr>
        <w:t xml:space="preserve"> u </w:t>
      </w:r>
      <w:r w:rsidR="00C72421" w:rsidRPr="004F7E58">
        <w:rPr>
          <w:b/>
          <w:color w:val="C00000"/>
        </w:rPr>
        <w:t>202</w:t>
      </w:r>
      <w:r w:rsidR="001B73F4" w:rsidRPr="004F7E58">
        <w:rPr>
          <w:b/>
          <w:color w:val="C00000"/>
        </w:rPr>
        <w:t>4</w:t>
      </w:r>
      <w:r w:rsidRPr="004F7E58">
        <w:rPr>
          <w:b/>
          <w:color w:val="C00000"/>
        </w:rPr>
        <w:t xml:space="preserve">. </w:t>
      </w:r>
      <w:proofErr w:type="spellStart"/>
      <w:r w:rsidRPr="004F7E58">
        <w:rPr>
          <w:b/>
          <w:color w:val="C00000"/>
        </w:rPr>
        <w:t>godin</w:t>
      </w:r>
      <w:r w:rsidR="008A6292" w:rsidRPr="004F7E58">
        <w:rPr>
          <w:b/>
          <w:color w:val="C00000"/>
        </w:rPr>
        <w:t>i</w:t>
      </w:r>
      <w:bookmarkEnd w:id="40"/>
      <w:proofErr w:type="spellEnd"/>
    </w:p>
    <w:p w14:paraId="61EA8BB7" w14:textId="77777777" w:rsidR="009C726D" w:rsidRPr="004F7E58" w:rsidRDefault="009C726D" w:rsidP="009C726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3341"/>
        <w:gridCol w:w="4111"/>
        <w:gridCol w:w="1081"/>
        <w:gridCol w:w="2520"/>
        <w:gridCol w:w="2249"/>
      </w:tblGrid>
      <w:tr w:rsidR="004A0E66" w:rsidRPr="004F7E58" w14:paraId="15C9769F" w14:textId="0E9DA14A" w:rsidTr="004F7E58">
        <w:trPr>
          <w:tblHeader/>
        </w:trPr>
        <w:tc>
          <w:tcPr>
            <w:tcW w:w="766" w:type="dxa"/>
          </w:tcPr>
          <w:p w14:paraId="5A170E1E" w14:textId="0F838665" w:rsidR="004A0E66" w:rsidRPr="004F7E58" w:rsidRDefault="004A0E66" w:rsidP="00BE5D8D">
            <w:pPr>
              <w:rPr>
                <w:rFonts w:cstheme="minorHAnsi"/>
                <w:b/>
                <w:sz w:val="20"/>
                <w:szCs w:val="20"/>
              </w:rPr>
            </w:pPr>
            <w:r w:rsidRPr="004F7E58">
              <w:rPr>
                <w:rFonts w:cstheme="minorHAnsi"/>
                <w:b/>
                <w:sz w:val="20"/>
                <w:szCs w:val="20"/>
              </w:rPr>
              <w:t>Stub</w:t>
            </w:r>
          </w:p>
        </w:tc>
        <w:tc>
          <w:tcPr>
            <w:tcW w:w="3341" w:type="dxa"/>
          </w:tcPr>
          <w:p w14:paraId="6BA0E9B5" w14:textId="31707471" w:rsidR="004A0E66" w:rsidRPr="004F7E58" w:rsidRDefault="004A0E66" w:rsidP="00BE5D8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Mjera</w:t>
            </w:r>
            <w:proofErr w:type="spellEnd"/>
            <w:r w:rsidRPr="004F7E5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14:paraId="4185722F" w14:textId="7E67B53D" w:rsidR="004A0E66" w:rsidRPr="004F7E58" w:rsidRDefault="004A0E66" w:rsidP="00BE5D8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Aktivnost</w:t>
            </w:r>
            <w:proofErr w:type="spellEnd"/>
          </w:p>
        </w:tc>
        <w:tc>
          <w:tcPr>
            <w:tcW w:w="1081" w:type="dxa"/>
            <w:vAlign w:val="center"/>
          </w:tcPr>
          <w:p w14:paraId="053905DF" w14:textId="2E632868" w:rsidR="004A0E66" w:rsidRPr="004F7E58" w:rsidRDefault="004A0E66" w:rsidP="004F7E5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Aktivan</w:t>
            </w:r>
            <w:proofErr w:type="spellEnd"/>
            <w:r w:rsidRPr="004F7E58">
              <w:rPr>
                <w:rFonts w:cstheme="minorHAnsi"/>
                <w:b/>
                <w:sz w:val="20"/>
                <w:szCs w:val="20"/>
              </w:rPr>
              <w:t xml:space="preserve"> u </w:t>
            </w:r>
            <w:r w:rsidR="00B948BE" w:rsidRPr="004F7E58">
              <w:rPr>
                <w:rFonts w:cstheme="minorHAnsi"/>
                <w:b/>
                <w:sz w:val="20"/>
                <w:szCs w:val="20"/>
              </w:rPr>
              <w:t>202</w:t>
            </w:r>
            <w:r w:rsidR="00170CEE" w:rsidRPr="004F7E58">
              <w:rPr>
                <w:rFonts w:cstheme="minorHAnsi"/>
                <w:b/>
                <w:sz w:val="20"/>
                <w:szCs w:val="20"/>
              </w:rPr>
              <w:t>4</w:t>
            </w:r>
            <w:r w:rsidRPr="004F7E58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  <w:vAlign w:val="center"/>
          </w:tcPr>
          <w:p w14:paraId="377A5462" w14:textId="22DA1D04" w:rsidR="004A0E66" w:rsidRPr="004F7E58" w:rsidRDefault="004A0E66" w:rsidP="004F7E58">
            <w:pPr>
              <w:rPr>
                <w:rFonts w:cstheme="minorHAnsi"/>
                <w:b/>
                <w:sz w:val="20"/>
                <w:szCs w:val="20"/>
              </w:rPr>
            </w:pPr>
            <w:r w:rsidRPr="004F7E58">
              <w:rPr>
                <w:rFonts w:cstheme="minorHAnsi"/>
                <w:b/>
                <w:sz w:val="20"/>
                <w:szCs w:val="20"/>
              </w:rPr>
              <w:t xml:space="preserve">Status </w:t>
            </w: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implementacije</w:t>
            </w:r>
            <w:proofErr w:type="spellEnd"/>
            <w:r w:rsidRPr="004F7E58"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aktivnosti</w:t>
            </w:r>
            <w:proofErr w:type="spellEnd"/>
            <w:r w:rsidRPr="004F7E58">
              <w:rPr>
                <w:rFonts w:cstheme="minorHAnsi"/>
                <w:b/>
                <w:sz w:val="20"/>
                <w:szCs w:val="20"/>
              </w:rPr>
              <w:t xml:space="preserve"> u </w:t>
            </w:r>
            <w:r w:rsidR="00B948BE" w:rsidRPr="004F7E58">
              <w:rPr>
                <w:rFonts w:cstheme="minorHAnsi"/>
                <w:b/>
                <w:sz w:val="20"/>
                <w:szCs w:val="20"/>
              </w:rPr>
              <w:t>202</w:t>
            </w:r>
            <w:r w:rsidR="00170CEE" w:rsidRPr="004F7E58">
              <w:rPr>
                <w:rFonts w:cstheme="minorHAnsi"/>
                <w:b/>
                <w:sz w:val="20"/>
                <w:szCs w:val="20"/>
              </w:rPr>
              <w:t>4</w:t>
            </w:r>
            <w:r w:rsidRPr="004F7E58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49" w:type="dxa"/>
            <w:vAlign w:val="center"/>
          </w:tcPr>
          <w:p w14:paraId="6B040F3D" w14:textId="620FC328" w:rsidR="004A0E66" w:rsidRPr="004F7E58" w:rsidRDefault="004A0E66" w:rsidP="004F7E5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Realizacija</w:t>
            </w:r>
            <w:proofErr w:type="spellEnd"/>
            <w:r w:rsidRPr="004F7E5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rezultata</w:t>
            </w:r>
            <w:proofErr w:type="spellEnd"/>
            <w:r w:rsidRPr="004F7E5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b/>
                <w:sz w:val="20"/>
                <w:szCs w:val="20"/>
              </w:rPr>
              <w:t>mjere</w:t>
            </w:r>
            <w:proofErr w:type="spellEnd"/>
          </w:p>
        </w:tc>
      </w:tr>
      <w:tr w:rsidR="004A0E66" w:rsidRPr="004F7E58" w14:paraId="7BDBEFA3" w14:textId="71759BF2" w:rsidTr="004F7E58">
        <w:tc>
          <w:tcPr>
            <w:tcW w:w="766" w:type="dxa"/>
            <w:vMerge w:val="restart"/>
            <w:textDirection w:val="btLr"/>
          </w:tcPr>
          <w:p w14:paraId="7467AA17" w14:textId="3557C376" w:rsidR="004A0E66" w:rsidRPr="004F7E58" w:rsidRDefault="004A0E66" w:rsidP="003B3E9C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I.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FISKALNI</w:t>
            </w:r>
            <w:proofErr w:type="spellEnd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OKVIR</w:t>
            </w:r>
            <w:proofErr w:type="spellEnd"/>
          </w:p>
        </w:tc>
        <w:tc>
          <w:tcPr>
            <w:tcW w:w="3341" w:type="dxa"/>
          </w:tcPr>
          <w:p w14:paraId="0DD82980" w14:textId="21E2A79C" w:rsidR="004A0E66" w:rsidRPr="004F7E58" w:rsidRDefault="004A0E66" w:rsidP="001C423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Formuliranje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usvajanje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primjena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fiskalnih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pravila</w:t>
            </w:r>
            <w:proofErr w:type="spellEnd"/>
          </w:p>
        </w:tc>
        <w:tc>
          <w:tcPr>
            <w:tcW w:w="4111" w:type="dxa"/>
          </w:tcPr>
          <w:p w14:paraId="47F538C1" w14:textId="1A743436" w:rsidR="004A0E66" w:rsidRPr="004F7E58" w:rsidRDefault="004A0E66" w:rsidP="001C423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I.1.1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Primjena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novih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fiskalnih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pravila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zaduživanju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garancijama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subjekte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1081" w:type="dxa"/>
            <w:vAlign w:val="center"/>
          </w:tcPr>
          <w:p w14:paraId="42908BA6" w14:textId="60CBB2FF" w:rsidR="004A0E66" w:rsidRPr="004F7E58" w:rsidRDefault="004A0E66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258F1C75" w14:textId="2F3090D3" w:rsidR="004A0E66" w:rsidRPr="004F7E58" w:rsidRDefault="002E72D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7E436DE5" w14:textId="43E439BF" w:rsidR="004A0E66" w:rsidRPr="004F7E58" w:rsidRDefault="004A0E66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9A5AFC" w:rsidRPr="004F7E58" w14:paraId="3AD76A2C" w14:textId="5AA68E21" w:rsidTr="004F7E58">
        <w:tc>
          <w:tcPr>
            <w:tcW w:w="766" w:type="dxa"/>
            <w:vMerge/>
          </w:tcPr>
          <w:p w14:paraId="38E754E8" w14:textId="77777777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F1B801F" w14:textId="585F2382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projekcije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rashoda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pripremu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DOB-a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</w:t>
            </w:r>
          </w:p>
        </w:tc>
        <w:tc>
          <w:tcPr>
            <w:tcW w:w="4111" w:type="dxa"/>
          </w:tcPr>
          <w:p w14:paraId="1DB1232C" w14:textId="19F01599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I.2.1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Ojačati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makroekonomsku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analizu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unaprijedjenje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prikaza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pojašnjenja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makroekonomskih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parametara</w:t>
            </w:r>
            <w:proofErr w:type="spellEnd"/>
          </w:p>
        </w:tc>
        <w:tc>
          <w:tcPr>
            <w:tcW w:w="1081" w:type="dxa"/>
            <w:vAlign w:val="center"/>
          </w:tcPr>
          <w:p w14:paraId="2F9F0F20" w14:textId="38E31949" w:rsidR="009A5AFC" w:rsidRPr="004F7E58" w:rsidRDefault="006320A6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041404B0" w14:textId="31C1579C" w:rsidR="009A5AFC" w:rsidRPr="004F7E58" w:rsidRDefault="009A5AFC" w:rsidP="00A026A6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Završena</w:t>
            </w:r>
            <w:r w:rsidR="006320A6" w:rsidRPr="004F7E58">
              <w:rPr>
                <w:noProof/>
                <w:sz w:val="20"/>
                <w:lang w:val="bs-Latn-BA"/>
              </w:rPr>
              <w:t xml:space="preserve"> u 2023</w:t>
            </w:r>
            <w:r w:rsidR="00496BE4" w:rsidRPr="004F7E58">
              <w:rPr>
                <w:noProof/>
                <w:sz w:val="20"/>
                <w:lang w:val="bs-Latn-BA"/>
              </w:rPr>
              <w:t>.</w:t>
            </w:r>
          </w:p>
        </w:tc>
        <w:tc>
          <w:tcPr>
            <w:tcW w:w="2249" w:type="dxa"/>
            <w:shd w:val="clear" w:color="auto" w:fill="00B050"/>
            <w:vAlign w:val="center"/>
          </w:tcPr>
          <w:p w14:paraId="0F04810C" w14:textId="5FEF3455" w:rsidR="009A5AFC" w:rsidRPr="004F7E58" w:rsidRDefault="009A5AFC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Rezultat mjere postignut</w:t>
            </w:r>
            <w:r w:rsidR="006C3F7A" w:rsidRPr="004F7E58">
              <w:rPr>
                <w:noProof/>
                <w:sz w:val="20"/>
                <w:lang w:val="bs-Latn-BA"/>
              </w:rPr>
              <w:t xml:space="preserve"> u prethodnom periodu</w:t>
            </w:r>
          </w:p>
        </w:tc>
      </w:tr>
      <w:tr w:rsidR="009A5AFC" w:rsidRPr="004F7E58" w14:paraId="20A300FC" w14:textId="2B3869FD" w:rsidTr="004F7E58">
        <w:tc>
          <w:tcPr>
            <w:tcW w:w="766" w:type="dxa"/>
            <w:vMerge/>
          </w:tcPr>
          <w:p w14:paraId="7FDD0CE5" w14:textId="77777777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5FF0A18F" w14:textId="77777777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44AA9F" w14:textId="1BA37A0D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I.2.2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koordinacije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odgovornosti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između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pripremi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projekcija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081" w:type="dxa"/>
            <w:vAlign w:val="center"/>
          </w:tcPr>
          <w:p w14:paraId="0B52724D" w14:textId="745E3977" w:rsidR="009A5AFC" w:rsidRPr="004F7E58" w:rsidRDefault="009A5AFC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4F7B3F5" w14:textId="45D45DC9" w:rsidR="009A5AFC" w:rsidRPr="004F7E58" w:rsidRDefault="009A5AFC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6320A6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5DBFC2DA" w14:textId="7D407865" w:rsidR="009A5AFC" w:rsidRPr="004F7E58" w:rsidRDefault="009A5AFC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5375A9" w:rsidRPr="004F7E58" w14:paraId="1CD83CA3" w14:textId="70F743F2" w:rsidTr="004F7E58">
        <w:tc>
          <w:tcPr>
            <w:tcW w:w="766" w:type="dxa"/>
            <w:vMerge/>
          </w:tcPr>
          <w:p w14:paraId="03F9F29B" w14:textId="77777777" w:rsidR="005375A9" w:rsidRPr="004F7E58" w:rsidRDefault="005375A9" w:rsidP="005375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6DCD384" w14:textId="1D4FA1EB" w:rsidR="005375A9" w:rsidRPr="004F7E58" w:rsidRDefault="005375A9" w:rsidP="005375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AB3311" w14:textId="4208A305" w:rsidR="005375A9" w:rsidRPr="004F7E58" w:rsidRDefault="005375A9" w:rsidP="005375A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I.2.3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inputa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izradu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projekcije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081" w:type="dxa"/>
            <w:vAlign w:val="center"/>
          </w:tcPr>
          <w:p w14:paraId="42D2CAEC" w14:textId="54373FFD" w:rsidR="005375A9" w:rsidRPr="004F7E58" w:rsidRDefault="005375A9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BBF9EF9" w14:textId="6E7FA8FD" w:rsidR="005375A9" w:rsidRPr="004F7E58" w:rsidRDefault="005375A9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71427039" w14:textId="05E1DECE" w:rsidR="005375A9" w:rsidRPr="004F7E58" w:rsidRDefault="005375A9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9A5AFC" w:rsidRPr="004F7E58" w14:paraId="4D6A66FB" w14:textId="0636D068" w:rsidTr="004F7E58">
        <w:trPr>
          <w:trHeight w:val="77"/>
        </w:trPr>
        <w:tc>
          <w:tcPr>
            <w:tcW w:w="766" w:type="dxa"/>
            <w:vMerge/>
          </w:tcPr>
          <w:p w14:paraId="6BEFD2ED" w14:textId="77777777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A7BD20B" w14:textId="77777777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35EB41" w14:textId="37A26181" w:rsidR="009A5AFC" w:rsidRPr="004F7E58" w:rsidRDefault="009A5AFC" w:rsidP="009A5AFC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I.2.4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elektronskog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praćenja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izvršenja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projekcija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081" w:type="dxa"/>
            <w:vAlign w:val="center"/>
          </w:tcPr>
          <w:p w14:paraId="4E8EEEBC" w14:textId="45364B02" w:rsidR="009A5AFC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0000"/>
            <w:vAlign w:val="center"/>
          </w:tcPr>
          <w:p w14:paraId="5C697F22" w14:textId="031ABE9E" w:rsidR="009A5AFC" w:rsidRPr="004F7E58" w:rsidRDefault="009A5AFC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ali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</w:t>
            </w:r>
            <w:r w:rsidR="005375A9" w:rsidRPr="004F7E58">
              <w:rPr>
                <w:rFonts w:cstheme="minorHAnsi"/>
                <w:sz w:val="20"/>
                <w:szCs w:val="20"/>
              </w:rPr>
              <w:t>4</w:t>
            </w:r>
            <w:r w:rsidRPr="004F7E5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563F1736" w14:textId="16D6C927" w:rsidR="009A5AFC" w:rsidRPr="004F7E58" w:rsidRDefault="009A5AFC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990D70" w:rsidRPr="004F7E58" w14:paraId="31FC4075" w14:textId="77777777" w:rsidTr="004F7E58">
        <w:tc>
          <w:tcPr>
            <w:tcW w:w="766" w:type="dxa"/>
            <w:vMerge/>
            <w:textDirection w:val="btLr"/>
          </w:tcPr>
          <w:p w14:paraId="68CFF2E7" w14:textId="77777777" w:rsidR="00990D70" w:rsidRPr="004F7E58" w:rsidRDefault="00990D70" w:rsidP="00990D70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CA6899F" w14:textId="1745F96C" w:rsidR="00990D70" w:rsidRPr="004F7E58" w:rsidRDefault="00990D70" w:rsidP="00990D70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I.3. 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Fiskalna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koordinacija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konsolidacija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izvještavanje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finansija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nižih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6BFA5C58" w14:textId="201BBAD6" w:rsidR="00990D70" w:rsidRPr="004F7E58" w:rsidRDefault="00990D70" w:rsidP="00990D70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I.3.1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Ojačati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sekretarsku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tehničku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podršku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funkcioniranje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tijela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fiskalnu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koordinaciju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njegove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uloge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rješavanju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regulatornih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pitanja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politika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imaju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implikacije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različite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vlade</w:t>
            </w:r>
            <w:proofErr w:type="spellEnd"/>
          </w:p>
        </w:tc>
        <w:tc>
          <w:tcPr>
            <w:tcW w:w="1081" w:type="dxa"/>
            <w:vAlign w:val="center"/>
          </w:tcPr>
          <w:p w14:paraId="7EB59606" w14:textId="6CC984DD" w:rsidR="00990D70" w:rsidRPr="004F7E58" w:rsidRDefault="00990D70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17496057" w14:textId="506E5414" w:rsidR="00990D70" w:rsidRPr="004F7E58" w:rsidRDefault="00990D70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</w:t>
            </w:r>
            <w:r w:rsidR="00C414D7" w:rsidRPr="004F7E58">
              <w:rPr>
                <w:rFonts w:cstheme="minorHAnsi"/>
                <w:sz w:val="20"/>
                <w:szCs w:val="20"/>
                <w:lang w:val="fr-FR"/>
              </w:rPr>
              <w:t>202</w:t>
            </w:r>
            <w:r w:rsidR="005375A9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="00F6124A" w:rsidRPr="004F7E58">
              <w:rPr>
                <w:rFonts w:cstheme="minorHAnsi"/>
                <w:sz w:val="20"/>
                <w:szCs w:val="20"/>
                <w:lang w:val="fr-FR"/>
              </w:rPr>
              <w:t>.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75019C54" w14:textId="0E779605" w:rsidR="00990D70" w:rsidRPr="004F7E58" w:rsidRDefault="00990D70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C414D7" w:rsidRPr="004F7E58" w14:paraId="5E31FA17" w14:textId="77777777" w:rsidTr="004F7E58">
        <w:tc>
          <w:tcPr>
            <w:tcW w:w="766" w:type="dxa"/>
            <w:vMerge/>
            <w:textDirection w:val="btLr"/>
          </w:tcPr>
          <w:p w14:paraId="7BAA2DE0" w14:textId="77777777" w:rsidR="00C414D7" w:rsidRPr="004F7E58" w:rsidRDefault="00C414D7" w:rsidP="00C414D7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AAEEDB9" w14:textId="77777777" w:rsidR="00C414D7" w:rsidRPr="004F7E58" w:rsidRDefault="00C414D7" w:rsidP="00C414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E2BC15" w14:textId="2BCDFF4A" w:rsidR="00C414D7" w:rsidRPr="004F7E58" w:rsidRDefault="00C414D7" w:rsidP="00C414D7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I.3.2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Izmjena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fiskalnih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pravila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procesu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usvajanja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izvrsavanja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njihova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implementacija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</w:p>
        </w:tc>
        <w:tc>
          <w:tcPr>
            <w:tcW w:w="1081" w:type="dxa"/>
            <w:vAlign w:val="center"/>
          </w:tcPr>
          <w:p w14:paraId="1C563E5C" w14:textId="0A11A528" w:rsidR="00C414D7" w:rsidRPr="004F7E58" w:rsidRDefault="00C414D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3A302E6" w14:textId="13B1E3B2" w:rsidR="00C414D7" w:rsidRPr="004F7E58" w:rsidRDefault="00C414D7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5375A9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0FB3033B" w14:textId="767BD85C" w:rsidR="00C414D7" w:rsidRPr="004F7E58" w:rsidRDefault="00C414D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6320A6" w:rsidRPr="004F7E58" w14:paraId="58B9DCE4" w14:textId="77777777" w:rsidTr="004F7E58">
        <w:tc>
          <w:tcPr>
            <w:tcW w:w="766" w:type="dxa"/>
            <w:vMerge/>
            <w:textDirection w:val="btLr"/>
          </w:tcPr>
          <w:p w14:paraId="5C20EA15" w14:textId="77777777" w:rsidR="006320A6" w:rsidRPr="004F7E58" w:rsidRDefault="006320A6" w:rsidP="006320A6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5C10D61" w14:textId="20D2DE41" w:rsidR="006320A6" w:rsidRPr="004F7E58" w:rsidRDefault="006320A6" w:rsidP="006320A6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I.4.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Nadzor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nad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preduzećima</w:t>
            </w:r>
            <w:proofErr w:type="spellEnd"/>
          </w:p>
        </w:tc>
        <w:tc>
          <w:tcPr>
            <w:tcW w:w="4111" w:type="dxa"/>
          </w:tcPr>
          <w:p w14:paraId="0A2B35B5" w14:textId="7FD9A5E5" w:rsidR="006320A6" w:rsidRPr="004F7E58" w:rsidRDefault="006320A6" w:rsidP="006320A6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I.4.1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Uspostavljanje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Jedinice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praćenje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preduzeća</w:t>
            </w:r>
            <w:proofErr w:type="spellEnd"/>
          </w:p>
        </w:tc>
        <w:tc>
          <w:tcPr>
            <w:tcW w:w="1081" w:type="dxa"/>
            <w:vAlign w:val="center"/>
          </w:tcPr>
          <w:p w14:paraId="36B810C9" w14:textId="146AA583" w:rsidR="006320A6" w:rsidRPr="004F7E58" w:rsidRDefault="006320A6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4E68B30E" w14:textId="69E8F246" w:rsidR="006320A6" w:rsidRPr="004F7E58" w:rsidRDefault="006320A6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2022.</w:t>
            </w:r>
          </w:p>
        </w:tc>
        <w:tc>
          <w:tcPr>
            <w:tcW w:w="2249" w:type="dxa"/>
            <w:shd w:val="clear" w:color="auto" w:fill="00B050"/>
            <w:vAlign w:val="center"/>
          </w:tcPr>
          <w:p w14:paraId="21A9F73B" w14:textId="1081F249" w:rsidR="006320A6" w:rsidRPr="004F7E58" w:rsidRDefault="00AB73F1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Rezultat mjere postignut u prethodnom periodu</w:t>
            </w:r>
          </w:p>
        </w:tc>
      </w:tr>
      <w:tr w:rsidR="00E57CF7" w:rsidRPr="004F7E58" w14:paraId="67600EB5" w14:textId="31001CD0" w:rsidTr="004F7E58">
        <w:tc>
          <w:tcPr>
            <w:tcW w:w="766" w:type="dxa"/>
            <w:vMerge w:val="restart"/>
            <w:textDirection w:val="btLr"/>
          </w:tcPr>
          <w:p w14:paraId="4297A753" w14:textId="504BCDD2" w:rsidR="00E57CF7" w:rsidRPr="004F7E58" w:rsidRDefault="00E57CF7" w:rsidP="003B3E9C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II.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JAVNI</w:t>
            </w:r>
            <w:proofErr w:type="spellEnd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3341" w:type="dxa"/>
          </w:tcPr>
          <w:p w14:paraId="4EFAFEF5" w14:textId="7C280D31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4111" w:type="dxa"/>
          </w:tcPr>
          <w:p w14:paraId="0E13D4C0" w14:textId="00BCD11D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II.1.1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Smanjenje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fiskalnog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opterećenja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1081" w:type="dxa"/>
            <w:vAlign w:val="center"/>
          </w:tcPr>
          <w:p w14:paraId="29D571C3" w14:textId="362BC137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0000"/>
            <w:vAlign w:val="center"/>
          </w:tcPr>
          <w:p w14:paraId="7C7A1F87" w14:textId="3E22E9B8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ali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</w:t>
            </w:r>
            <w:r w:rsidR="0048431E" w:rsidRPr="004F7E58">
              <w:rPr>
                <w:rFonts w:cstheme="minorHAnsi"/>
                <w:sz w:val="20"/>
                <w:szCs w:val="20"/>
              </w:rPr>
              <w:t>4</w:t>
            </w:r>
            <w:r w:rsidRPr="004F7E58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74186823" w14:textId="08282CDF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48431E" w:rsidRPr="004F7E58" w14:paraId="197442C9" w14:textId="71B46F74" w:rsidTr="004F7E58">
        <w:tc>
          <w:tcPr>
            <w:tcW w:w="766" w:type="dxa"/>
            <w:vMerge/>
          </w:tcPr>
          <w:p w14:paraId="6B2129AA" w14:textId="77777777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2485EE2" w14:textId="77777777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D6CF551" w14:textId="7826E3E1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II.1.2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Harmonizirati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propise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oporezivanju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posjedovanja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prometa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imovine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</w:t>
            </w:r>
          </w:p>
        </w:tc>
        <w:tc>
          <w:tcPr>
            <w:tcW w:w="1081" w:type="dxa"/>
            <w:vAlign w:val="center"/>
          </w:tcPr>
          <w:p w14:paraId="2585CAC4" w14:textId="2A7CC68E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  <w:p w14:paraId="380C0FF3" w14:textId="49281D32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1CCA9DB" w14:textId="65D19867" w:rsidR="0048431E" w:rsidRPr="004F7E58" w:rsidRDefault="0048431E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639D0276" w14:textId="084E2CC6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E57CF7" w:rsidRPr="004F7E58" w14:paraId="739F2E2C" w14:textId="4398D660" w:rsidTr="004F7E58">
        <w:tc>
          <w:tcPr>
            <w:tcW w:w="766" w:type="dxa"/>
            <w:vMerge/>
          </w:tcPr>
          <w:p w14:paraId="1C32CB4D" w14:textId="77777777" w:rsidR="00E57CF7" w:rsidRPr="004F7E58" w:rsidRDefault="00E57CF7" w:rsidP="007E46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3ADF7E0" w14:textId="77777777" w:rsidR="00E57CF7" w:rsidRPr="004F7E58" w:rsidRDefault="00E57CF7" w:rsidP="007E46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40B4157" w14:textId="3B4210AF" w:rsidR="00E57CF7" w:rsidRPr="004F7E58" w:rsidRDefault="00E57CF7" w:rsidP="007E46A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II.1.3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Harmonizirati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igrama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sreću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međunarodnim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propisima</w:t>
            </w:r>
            <w:proofErr w:type="spellEnd"/>
          </w:p>
        </w:tc>
        <w:tc>
          <w:tcPr>
            <w:tcW w:w="1081" w:type="dxa"/>
            <w:vAlign w:val="center"/>
          </w:tcPr>
          <w:p w14:paraId="5ED66ED6" w14:textId="5825EC52" w:rsidR="00E57CF7" w:rsidRPr="004F7E58" w:rsidRDefault="00261C2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BDBDB" w:themeFill="accent3" w:themeFillTint="66"/>
            <w:vAlign w:val="center"/>
          </w:tcPr>
          <w:p w14:paraId="6366E57A" w14:textId="3BDF16A6" w:rsidR="00E57CF7" w:rsidRPr="004F7E58" w:rsidRDefault="00E44002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48431E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7D7E5C13" w14:textId="261BC603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E57CF7" w:rsidRPr="004F7E58" w14:paraId="67927E36" w14:textId="0F105164" w:rsidTr="004F7E58">
        <w:tc>
          <w:tcPr>
            <w:tcW w:w="766" w:type="dxa"/>
            <w:vMerge/>
          </w:tcPr>
          <w:p w14:paraId="3CBB5621" w14:textId="77777777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9E40B79" w14:textId="5CCF782A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9918D8" w14:textId="3D55CD32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F7E58">
              <w:rPr>
                <w:rFonts w:cstheme="minorHAnsi"/>
                <w:sz w:val="20"/>
                <w:szCs w:val="20"/>
              </w:rPr>
              <w:t xml:space="preserve">II.1.4 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proofErr w:type="gram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propise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poreznoj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administraciji</w:t>
            </w:r>
            <w:proofErr w:type="spellEnd"/>
          </w:p>
        </w:tc>
        <w:tc>
          <w:tcPr>
            <w:tcW w:w="1081" w:type="dxa"/>
            <w:vAlign w:val="center"/>
          </w:tcPr>
          <w:p w14:paraId="585AE1EC" w14:textId="0FF0B1CC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199F134" w14:textId="3C53AC13" w:rsidR="00E57CF7" w:rsidRPr="004F7E58" w:rsidRDefault="00E44002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AC1557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79C722E4" w14:textId="2D5C63AC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E57CF7" w:rsidRPr="004F7E58" w14:paraId="3AB1C5CC" w14:textId="623D9510" w:rsidTr="004F7E58">
        <w:trPr>
          <w:trHeight w:val="77"/>
        </w:trPr>
        <w:tc>
          <w:tcPr>
            <w:tcW w:w="766" w:type="dxa"/>
            <w:vMerge/>
          </w:tcPr>
          <w:p w14:paraId="7A00C158" w14:textId="77777777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A06441C" w14:textId="77777777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6F9275" w14:textId="23CC40FD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II.1.5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raspodjele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Federaciji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BiH</w:t>
            </w:r>
          </w:p>
        </w:tc>
        <w:tc>
          <w:tcPr>
            <w:tcW w:w="1081" w:type="dxa"/>
            <w:vAlign w:val="center"/>
          </w:tcPr>
          <w:p w14:paraId="2C525365" w14:textId="17EE25B5" w:rsidR="00E57CF7" w:rsidRPr="004F7E58" w:rsidRDefault="00261C2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vAlign w:val="center"/>
          </w:tcPr>
          <w:p w14:paraId="6D5608B4" w14:textId="19D0005E" w:rsidR="00E57CF7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Aktivnost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zaustavljena</w:t>
            </w:r>
            <w:proofErr w:type="spellEnd"/>
          </w:p>
        </w:tc>
        <w:tc>
          <w:tcPr>
            <w:tcW w:w="2249" w:type="dxa"/>
            <w:vAlign w:val="center"/>
          </w:tcPr>
          <w:p w14:paraId="1898D861" w14:textId="193B7711" w:rsidR="00E57CF7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briše</w:t>
            </w:r>
            <w:proofErr w:type="spellEnd"/>
          </w:p>
        </w:tc>
      </w:tr>
      <w:tr w:rsidR="00E57CF7" w:rsidRPr="004F7E58" w14:paraId="6725156A" w14:textId="77777777" w:rsidTr="004F7E58">
        <w:tc>
          <w:tcPr>
            <w:tcW w:w="766" w:type="dxa"/>
            <w:vMerge/>
            <w:textDirection w:val="btLr"/>
          </w:tcPr>
          <w:p w14:paraId="174EF185" w14:textId="77777777" w:rsidR="00E57CF7" w:rsidRPr="004F7E58" w:rsidRDefault="00E57CF7" w:rsidP="00900E5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A942666" w14:textId="32C7E2B3" w:rsidR="00E57CF7" w:rsidRPr="004F7E58" w:rsidRDefault="00E57CF7" w:rsidP="00900E52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harmonizacija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lastRenderedPageBreak/>
              <w:t>međunarodnom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pomoći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administrativnom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saradnjom</w:t>
            </w:r>
            <w:proofErr w:type="spellEnd"/>
          </w:p>
        </w:tc>
        <w:tc>
          <w:tcPr>
            <w:tcW w:w="4111" w:type="dxa"/>
          </w:tcPr>
          <w:p w14:paraId="309201E7" w14:textId="567259D7" w:rsidR="00E57CF7" w:rsidRPr="004F7E58" w:rsidRDefault="00E57CF7" w:rsidP="00900E52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lastRenderedPageBreak/>
              <w:t xml:space="preserve">II.2.1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Harmonizacija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Globalnog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foruma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OECD</w:t>
            </w:r>
          </w:p>
        </w:tc>
        <w:tc>
          <w:tcPr>
            <w:tcW w:w="1081" w:type="dxa"/>
            <w:vAlign w:val="center"/>
          </w:tcPr>
          <w:p w14:paraId="6C5FD581" w14:textId="3EDD9A9C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338EA6DB" w14:textId="3FBC84A5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02A3F61B" w14:textId="3A185F87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48431E" w:rsidRPr="004F7E58" w14:paraId="34562945" w14:textId="77777777" w:rsidTr="004F7E58">
        <w:tc>
          <w:tcPr>
            <w:tcW w:w="766" w:type="dxa"/>
            <w:vMerge/>
            <w:textDirection w:val="btLr"/>
          </w:tcPr>
          <w:p w14:paraId="31C5EE96" w14:textId="77777777" w:rsidR="0048431E" w:rsidRPr="004F7E58" w:rsidRDefault="0048431E" w:rsidP="0048431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15EC1DE" w14:textId="77777777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B401F29" w14:textId="57E89F35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II.2.2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Harmonizacija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akcijama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BEPS-a</w:t>
            </w:r>
          </w:p>
        </w:tc>
        <w:tc>
          <w:tcPr>
            <w:tcW w:w="1081" w:type="dxa"/>
            <w:vAlign w:val="center"/>
          </w:tcPr>
          <w:p w14:paraId="65F86CF7" w14:textId="6B6D1B41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0679305A" w14:textId="5139F236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2023. </w:t>
            </w:r>
          </w:p>
        </w:tc>
        <w:tc>
          <w:tcPr>
            <w:tcW w:w="2249" w:type="dxa"/>
            <w:shd w:val="clear" w:color="auto" w:fill="00B050"/>
            <w:vAlign w:val="center"/>
          </w:tcPr>
          <w:p w14:paraId="7240A065" w14:textId="5E2F06C4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Rezultat mjere postignut</w:t>
            </w:r>
          </w:p>
        </w:tc>
      </w:tr>
      <w:tr w:rsidR="00E57CF7" w:rsidRPr="004F7E58" w14:paraId="4BC68FCB" w14:textId="77777777" w:rsidTr="004F7E58">
        <w:tc>
          <w:tcPr>
            <w:tcW w:w="766" w:type="dxa"/>
            <w:vMerge/>
            <w:textDirection w:val="btLr"/>
          </w:tcPr>
          <w:p w14:paraId="086C5250" w14:textId="77777777" w:rsidR="00E57CF7" w:rsidRPr="004F7E58" w:rsidRDefault="00E57CF7" w:rsidP="00900E5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E9E8687" w14:textId="77777777" w:rsidR="00E57CF7" w:rsidRPr="004F7E58" w:rsidRDefault="00E57CF7" w:rsidP="00900E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29BBD1C" w14:textId="152A6C2C" w:rsidR="00E57CF7" w:rsidRPr="004F7E58" w:rsidRDefault="00E57CF7" w:rsidP="00900E52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II.2.3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Harmonizacija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razvoj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digitalizacije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ekonomije</w:t>
            </w:r>
            <w:proofErr w:type="spellEnd"/>
          </w:p>
        </w:tc>
        <w:tc>
          <w:tcPr>
            <w:tcW w:w="1081" w:type="dxa"/>
            <w:vAlign w:val="center"/>
          </w:tcPr>
          <w:p w14:paraId="0BB2D3BC" w14:textId="6F962251" w:rsidR="00E57CF7" w:rsidRPr="004F7E58" w:rsidRDefault="00261C2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67190BC" w14:textId="0D846DAE" w:rsidR="00E57CF7" w:rsidRPr="004F7E58" w:rsidRDefault="00E57CF7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48431E"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="0048431E"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48431E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2DCA7A67" w14:textId="4D95B980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FF0E1D" w:rsidRPr="004F7E58" w14:paraId="13DD9485" w14:textId="77777777" w:rsidTr="004F7E58">
        <w:tc>
          <w:tcPr>
            <w:tcW w:w="766" w:type="dxa"/>
            <w:vMerge/>
            <w:textDirection w:val="btLr"/>
          </w:tcPr>
          <w:p w14:paraId="64B81664" w14:textId="77777777" w:rsidR="00FF0E1D" w:rsidRPr="004F7E58" w:rsidRDefault="00FF0E1D" w:rsidP="00FF0E1D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53FF97C" w14:textId="77777777" w:rsidR="00FF0E1D" w:rsidRPr="004F7E58" w:rsidRDefault="00FF0E1D" w:rsidP="00FF0E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52C6E5" w14:textId="2189904B" w:rsidR="00FF0E1D" w:rsidRPr="004F7E58" w:rsidRDefault="00FF0E1D" w:rsidP="00FF0E1D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II.2.4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Razmjena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informacija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sa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drugim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poreznim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jurisdikcijama</w:t>
            </w:r>
            <w:proofErr w:type="spellEnd"/>
          </w:p>
        </w:tc>
        <w:tc>
          <w:tcPr>
            <w:tcW w:w="1081" w:type="dxa"/>
            <w:vAlign w:val="center"/>
          </w:tcPr>
          <w:p w14:paraId="3CA4DF30" w14:textId="7589D3D4" w:rsidR="00FF0E1D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1C12FD6C" w14:textId="29391B38" w:rsidR="00FF0E1D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1F90DF92" w14:textId="5A28D984" w:rsidR="00FF0E1D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E57CF7" w:rsidRPr="004F7E58" w14:paraId="4749A97F" w14:textId="77777777" w:rsidTr="004F7E58">
        <w:trPr>
          <w:trHeight w:val="224"/>
        </w:trPr>
        <w:tc>
          <w:tcPr>
            <w:tcW w:w="766" w:type="dxa"/>
            <w:vMerge/>
            <w:textDirection w:val="btLr"/>
          </w:tcPr>
          <w:p w14:paraId="572891BE" w14:textId="77777777" w:rsidR="00E57CF7" w:rsidRPr="004F7E58" w:rsidRDefault="00E57CF7" w:rsidP="00EB3B69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  <w:vMerge w:val="restart"/>
          </w:tcPr>
          <w:p w14:paraId="4A6BFB24" w14:textId="53AAA21C" w:rsidR="00E57CF7" w:rsidRPr="004F7E58" w:rsidRDefault="00E57CF7" w:rsidP="00EB3B6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Suzbijanje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ekonomije</w:t>
            </w:r>
            <w:proofErr w:type="spellEnd"/>
          </w:p>
        </w:tc>
        <w:tc>
          <w:tcPr>
            <w:tcW w:w="4111" w:type="dxa"/>
            <w:vMerge w:val="restart"/>
          </w:tcPr>
          <w:p w14:paraId="2B8E7B1B" w14:textId="39D30E61" w:rsidR="00E57CF7" w:rsidRPr="004F7E58" w:rsidRDefault="00E57CF7" w:rsidP="00EB3B6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II.3.1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Identificirati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uzroke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posljedice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ekonomije</w:t>
            </w:r>
            <w:proofErr w:type="spellEnd"/>
          </w:p>
        </w:tc>
        <w:tc>
          <w:tcPr>
            <w:tcW w:w="1081" w:type="dxa"/>
            <w:vMerge w:val="restart"/>
            <w:vAlign w:val="center"/>
          </w:tcPr>
          <w:p w14:paraId="14158B49" w14:textId="3FDF2E9C" w:rsidR="00E57CF7" w:rsidRPr="004F7E58" w:rsidRDefault="00E57CF7" w:rsidP="004F7E58">
            <w:pPr>
              <w:tabs>
                <w:tab w:val="left" w:pos="300"/>
                <w:tab w:val="center" w:pos="432"/>
              </w:tabs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vMerge w:val="restart"/>
            <w:shd w:val="clear" w:color="auto" w:fill="D9D9D9" w:themeFill="background1" w:themeFillShade="D9"/>
            <w:vAlign w:val="center"/>
          </w:tcPr>
          <w:p w14:paraId="198D2625" w14:textId="6F4746C5" w:rsidR="00E57CF7" w:rsidRPr="004F7E58" w:rsidRDefault="00E57CF7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48431E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56FD1CE0" w14:textId="6C2D7FC8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E57CF7" w:rsidRPr="004F7E58" w14:paraId="37EA998D" w14:textId="77777777" w:rsidTr="004F7E58">
        <w:trPr>
          <w:trHeight w:val="224"/>
        </w:trPr>
        <w:tc>
          <w:tcPr>
            <w:tcW w:w="766" w:type="dxa"/>
            <w:vMerge/>
            <w:textDirection w:val="btLr"/>
          </w:tcPr>
          <w:p w14:paraId="250EC37A" w14:textId="77777777" w:rsidR="00E57CF7" w:rsidRPr="004F7E58" w:rsidRDefault="00E57CF7" w:rsidP="00EB3B69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  <w:vMerge/>
          </w:tcPr>
          <w:p w14:paraId="426DEB13" w14:textId="77777777" w:rsidR="00E57CF7" w:rsidRPr="004F7E58" w:rsidRDefault="00E57CF7" w:rsidP="00EB3B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0DE003E2" w14:textId="77777777" w:rsidR="00E57CF7" w:rsidRPr="004F7E58" w:rsidRDefault="00E57CF7" w:rsidP="00EB3B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6601AF9E" w14:textId="77777777" w:rsidR="00E57CF7" w:rsidRPr="004F7E58" w:rsidRDefault="00E57CF7" w:rsidP="004F7E58">
            <w:pPr>
              <w:tabs>
                <w:tab w:val="left" w:pos="300"/>
                <w:tab w:val="center" w:pos="432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D9D9D9" w:themeFill="background1" w:themeFillShade="D9"/>
            <w:vAlign w:val="center"/>
          </w:tcPr>
          <w:p w14:paraId="69BB3B47" w14:textId="77777777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4EDE0ECC" w14:textId="22140E95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E57CF7" w:rsidRPr="004F7E58" w14:paraId="39C2A22B" w14:textId="77777777" w:rsidTr="004F7E58">
        <w:tc>
          <w:tcPr>
            <w:tcW w:w="766" w:type="dxa"/>
            <w:vMerge/>
            <w:textDirection w:val="btLr"/>
          </w:tcPr>
          <w:p w14:paraId="2FE9040A" w14:textId="77777777" w:rsidR="00E57CF7" w:rsidRPr="004F7E58" w:rsidRDefault="00E57CF7" w:rsidP="00990D70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94CB6FF" w14:textId="77777777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F15136E" w14:textId="29A44EF6" w:rsidR="00E57CF7" w:rsidRPr="004F7E58" w:rsidRDefault="00E57CF7" w:rsidP="00990D70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II.3.2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Izraditi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model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izračuna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ekonomije</w:t>
            </w:r>
            <w:proofErr w:type="spellEnd"/>
          </w:p>
        </w:tc>
        <w:tc>
          <w:tcPr>
            <w:tcW w:w="1081" w:type="dxa"/>
            <w:vAlign w:val="center"/>
          </w:tcPr>
          <w:p w14:paraId="56971EAE" w14:textId="7FC63995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E80CA21" w14:textId="7E161FBB" w:rsidR="00E57CF7" w:rsidRPr="004F7E58" w:rsidRDefault="00E57CF7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48431E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2DD75AC9" w14:textId="5BE5FFD9" w:rsidR="00E57CF7" w:rsidRPr="004F7E58" w:rsidRDefault="00C04AF9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57CF7" w:rsidRPr="004F7E58" w14:paraId="430B3DE8" w14:textId="77777777" w:rsidTr="004F7E58">
        <w:tc>
          <w:tcPr>
            <w:tcW w:w="766" w:type="dxa"/>
            <w:vMerge/>
            <w:textDirection w:val="btLr"/>
          </w:tcPr>
          <w:p w14:paraId="1CB841F7" w14:textId="77777777" w:rsidR="00E57CF7" w:rsidRPr="004F7E58" w:rsidRDefault="00E57CF7" w:rsidP="00223A30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3C75CF9" w14:textId="77777777" w:rsidR="00E57CF7" w:rsidRPr="004F7E58" w:rsidRDefault="00E57CF7" w:rsidP="00223A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24697CB" w14:textId="2D7ED2CA" w:rsidR="00E57CF7" w:rsidRPr="004F7E58" w:rsidRDefault="00E57CF7" w:rsidP="00223A30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II.3.3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Efikasniji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nadzor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nad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tokovima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ekonomije</w:t>
            </w:r>
            <w:proofErr w:type="spellEnd"/>
          </w:p>
        </w:tc>
        <w:tc>
          <w:tcPr>
            <w:tcW w:w="1081" w:type="dxa"/>
            <w:vAlign w:val="center"/>
          </w:tcPr>
          <w:p w14:paraId="193A30B3" w14:textId="1D320368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86AF082" w14:textId="700BE44C" w:rsidR="00E57CF7" w:rsidRPr="004F7E58" w:rsidRDefault="00E57CF7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AC1557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69998EE1" w14:textId="288C0BE7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48431E" w:rsidRPr="004F7E58" w14:paraId="61D2C368" w14:textId="77777777" w:rsidTr="004F7E58">
        <w:tc>
          <w:tcPr>
            <w:tcW w:w="766" w:type="dxa"/>
            <w:vMerge/>
            <w:textDirection w:val="btLr"/>
          </w:tcPr>
          <w:p w14:paraId="1D84A3BA" w14:textId="77777777" w:rsidR="0048431E" w:rsidRPr="004F7E58" w:rsidRDefault="0048431E" w:rsidP="0048431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489CE9F" w14:textId="77777777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5C85825" w14:textId="5AB1C995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II.3.4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Edukacija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građana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značaju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fiskalnog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računa</w:t>
            </w:r>
            <w:proofErr w:type="spellEnd"/>
          </w:p>
        </w:tc>
        <w:tc>
          <w:tcPr>
            <w:tcW w:w="1081" w:type="dxa"/>
            <w:vAlign w:val="center"/>
          </w:tcPr>
          <w:p w14:paraId="61EA47A0" w14:textId="47F72009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vAlign w:val="center"/>
          </w:tcPr>
          <w:p w14:paraId="73CAAA33" w14:textId="13421858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Aktivnost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r w:rsidR="00AB73F1" w:rsidRPr="004F7E58">
              <w:rPr>
                <w:rFonts w:cstheme="minorHAnsi"/>
                <w:sz w:val="20"/>
                <w:szCs w:val="20"/>
              </w:rPr>
              <w:t xml:space="preserve">se </w:t>
            </w:r>
            <w:proofErr w:type="spellStart"/>
            <w:r w:rsidR="00AB73F1" w:rsidRPr="004F7E58">
              <w:rPr>
                <w:rFonts w:cstheme="minorHAnsi"/>
                <w:sz w:val="20"/>
                <w:szCs w:val="20"/>
              </w:rPr>
              <w:t>obustavlja</w:t>
            </w:r>
            <w:proofErr w:type="spellEnd"/>
          </w:p>
        </w:tc>
        <w:tc>
          <w:tcPr>
            <w:tcW w:w="2249" w:type="dxa"/>
            <w:vAlign w:val="center"/>
          </w:tcPr>
          <w:p w14:paraId="40F06801" w14:textId="3A8C6851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briše</w:t>
            </w:r>
            <w:proofErr w:type="spellEnd"/>
          </w:p>
        </w:tc>
      </w:tr>
      <w:tr w:rsidR="00E57CF7" w:rsidRPr="004F7E58" w14:paraId="05A05FF9" w14:textId="77777777" w:rsidTr="004F7E58">
        <w:tc>
          <w:tcPr>
            <w:tcW w:w="766" w:type="dxa"/>
            <w:vMerge/>
            <w:textDirection w:val="btLr"/>
          </w:tcPr>
          <w:p w14:paraId="289E74C7" w14:textId="77777777" w:rsidR="00E57CF7" w:rsidRPr="004F7E58" w:rsidRDefault="00E57CF7" w:rsidP="00645A3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1F2BFB9" w14:textId="77777777" w:rsidR="00E57CF7" w:rsidRPr="004F7E58" w:rsidRDefault="00E57CF7" w:rsidP="00645A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B1F659" w14:textId="06EEFE6B" w:rsidR="00E57CF7" w:rsidRPr="004F7E58" w:rsidRDefault="00E57CF7" w:rsidP="00645A3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II.3.5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izvještavanje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MONEYVAL</w:t>
            </w:r>
            <w:proofErr w:type="spellEnd"/>
          </w:p>
        </w:tc>
        <w:tc>
          <w:tcPr>
            <w:tcW w:w="1081" w:type="dxa"/>
            <w:vAlign w:val="center"/>
          </w:tcPr>
          <w:p w14:paraId="1E447B84" w14:textId="1ED0EF48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4433FDC" w14:textId="6053B53F" w:rsidR="00E57CF7" w:rsidRPr="004F7E58" w:rsidRDefault="00E57CF7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48431E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62F5AAA5" w14:textId="653F1E7F" w:rsidR="00E57CF7" w:rsidRPr="004F7E58" w:rsidRDefault="00C04AF9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57CF7" w:rsidRPr="004F7E58" w14:paraId="634DCB43" w14:textId="77777777" w:rsidTr="004F7E58">
        <w:tc>
          <w:tcPr>
            <w:tcW w:w="766" w:type="dxa"/>
            <w:vMerge/>
            <w:textDirection w:val="btLr"/>
          </w:tcPr>
          <w:p w14:paraId="5460C88A" w14:textId="77777777" w:rsidR="00E57CF7" w:rsidRPr="004F7E58" w:rsidRDefault="00E57CF7" w:rsidP="00645A3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FFA4434" w14:textId="77777777" w:rsidR="00E57CF7" w:rsidRPr="004F7E58" w:rsidRDefault="00E57CF7" w:rsidP="00645A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175236" w14:textId="7EAE87B9" w:rsidR="00E57CF7" w:rsidRPr="004F7E58" w:rsidRDefault="00E57CF7" w:rsidP="00645A3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II.3.6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kadrovskih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Sektora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porezu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politiku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igara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sreću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Federalnog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ministarstva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finansija</w:t>
            </w:r>
            <w:proofErr w:type="spellEnd"/>
          </w:p>
        </w:tc>
        <w:tc>
          <w:tcPr>
            <w:tcW w:w="1081" w:type="dxa"/>
            <w:vAlign w:val="center"/>
          </w:tcPr>
          <w:p w14:paraId="1CB9BADC" w14:textId="5B7A6126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1C424A36" w14:textId="0B7B6CF0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3625CD9D" w14:textId="60CE4AE6" w:rsidR="00E57CF7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F0E1D" w:rsidRPr="004F7E58" w14:paraId="4F4663D8" w14:textId="77777777" w:rsidTr="004F7E58">
        <w:tc>
          <w:tcPr>
            <w:tcW w:w="766" w:type="dxa"/>
            <w:vMerge/>
            <w:textDirection w:val="btLr"/>
          </w:tcPr>
          <w:p w14:paraId="44CCE34F" w14:textId="77777777" w:rsidR="00FF0E1D" w:rsidRPr="004F7E58" w:rsidRDefault="00FF0E1D" w:rsidP="00FF0E1D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339316F" w14:textId="41EFEDEF" w:rsidR="00FF0E1D" w:rsidRPr="004F7E58" w:rsidRDefault="00FF0E1D" w:rsidP="00FF0E1D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poslovno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okruženje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uklanjanjem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administrativnih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barijera</w:t>
            </w:r>
            <w:proofErr w:type="spellEnd"/>
          </w:p>
        </w:tc>
        <w:tc>
          <w:tcPr>
            <w:tcW w:w="4111" w:type="dxa"/>
          </w:tcPr>
          <w:p w14:paraId="442A19BC" w14:textId="4E370835" w:rsidR="00FF0E1D" w:rsidRPr="004F7E58" w:rsidRDefault="00FF0E1D" w:rsidP="00FF0E1D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proces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dostavljanja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poreznih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prijava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elektronskom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obliku</w:t>
            </w:r>
            <w:proofErr w:type="spellEnd"/>
          </w:p>
        </w:tc>
        <w:tc>
          <w:tcPr>
            <w:tcW w:w="1081" w:type="dxa"/>
            <w:vAlign w:val="center"/>
          </w:tcPr>
          <w:p w14:paraId="1E2A13CC" w14:textId="6D317CAB" w:rsidR="00FF0E1D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14:paraId="4F464310" w14:textId="1B77D513" w:rsidR="00FF0E1D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 </w:t>
            </w:r>
            <w:proofErr w:type="spellStart"/>
            <w:proofErr w:type="gramStart"/>
            <w:r w:rsidRPr="004F7E58">
              <w:rPr>
                <w:rFonts w:cstheme="minorHAnsi"/>
                <w:sz w:val="20"/>
                <w:szCs w:val="20"/>
                <w:lang w:val="fr-FR"/>
              </w:rPr>
              <w:t>godini</w:t>
            </w:r>
            <w:proofErr w:type="spellEnd"/>
            <w:proofErr w:type="gramEnd"/>
            <w:r w:rsidRPr="004F7E58">
              <w:rPr>
                <w:rFonts w:cstheme="minorHAnsi"/>
                <w:sz w:val="20"/>
                <w:szCs w:val="20"/>
                <w:lang w:val="fr-FR"/>
              </w:rPr>
              <w:t>.</w:t>
            </w:r>
          </w:p>
        </w:tc>
        <w:tc>
          <w:tcPr>
            <w:tcW w:w="2249" w:type="dxa"/>
            <w:shd w:val="clear" w:color="auto" w:fill="C5E0B3" w:themeFill="accent6" w:themeFillTint="66"/>
            <w:vAlign w:val="center"/>
          </w:tcPr>
          <w:p w14:paraId="5587A15E" w14:textId="05A10889" w:rsidR="00FF0E1D" w:rsidRPr="004F7E58" w:rsidRDefault="00FF0E1D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="0048431E"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48431E" w:rsidRPr="004F7E58" w14:paraId="2450DCCE" w14:textId="77777777" w:rsidTr="004F7E58">
        <w:tc>
          <w:tcPr>
            <w:tcW w:w="766" w:type="dxa"/>
            <w:vMerge/>
            <w:textDirection w:val="btLr"/>
          </w:tcPr>
          <w:p w14:paraId="1311544E" w14:textId="77777777" w:rsidR="0048431E" w:rsidRPr="004F7E58" w:rsidRDefault="0048431E" w:rsidP="0048431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ADBF3E1" w14:textId="26B63CB1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27B36B" w14:textId="3843288B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usluge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poreznim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obveznicima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strane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Porezne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FBiH</w:t>
            </w:r>
          </w:p>
        </w:tc>
        <w:tc>
          <w:tcPr>
            <w:tcW w:w="1081" w:type="dxa"/>
            <w:vAlign w:val="center"/>
          </w:tcPr>
          <w:p w14:paraId="251AB796" w14:textId="5ABF7EED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vAlign w:val="center"/>
          </w:tcPr>
          <w:p w14:paraId="0D01B350" w14:textId="0753FC5B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Aktivnost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zaustavljena</w:t>
            </w:r>
            <w:proofErr w:type="spellEnd"/>
          </w:p>
        </w:tc>
        <w:tc>
          <w:tcPr>
            <w:tcW w:w="2249" w:type="dxa"/>
            <w:vAlign w:val="center"/>
          </w:tcPr>
          <w:p w14:paraId="1548C8ED" w14:textId="2250F4FF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briše</w:t>
            </w:r>
            <w:proofErr w:type="spellEnd"/>
          </w:p>
        </w:tc>
      </w:tr>
      <w:tr w:rsidR="0048431E" w:rsidRPr="004F7E58" w14:paraId="30C6843C" w14:textId="77777777" w:rsidTr="004F7E58">
        <w:tc>
          <w:tcPr>
            <w:tcW w:w="766" w:type="dxa"/>
            <w:vMerge/>
            <w:textDirection w:val="btLr"/>
          </w:tcPr>
          <w:p w14:paraId="29B92CA4" w14:textId="77777777" w:rsidR="0048431E" w:rsidRPr="004F7E58" w:rsidRDefault="0048431E" w:rsidP="0048431E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FF26213" w14:textId="77777777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A94C37" w14:textId="7135C7B2" w:rsidR="0048431E" w:rsidRPr="004F7E58" w:rsidRDefault="0048431E" w:rsidP="0048431E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Pojednostaviti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plaćanje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081" w:type="dxa"/>
            <w:vAlign w:val="center"/>
          </w:tcPr>
          <w:p w14:paraId="09DDC79B" w14:textId="29AD6289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vAlign w:val="center"/>
          </w:tcPr>
          <w:p w14:paraId="1C3F2ED2" w14:textId="56DDAADE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Aktivnost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zaustavljena</w:t>
            </w:r>
            <w:proofErr w:type="spellEnd"/>
          </w:p>
        </w:tc>
        <w:tc>
          <w:tcPr>
            <w:tcW w:w="2249" w:type="dxa"/>
            <w:vAlign w:val="center"/>
          </w:tcPr>
          <w:p w14:paraId="3EF3F9E4" w14:textId="07A9A181" w:rsidR="0048431E" w:rsidRPr="004F7E58" w:rsidRDefault="0048431E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briše</w:t>
            </w:r>
            <w:proofErr w:type="spellEnd"/>
          </w:p>
        </w:tc>
      </w:tr>
      <w:tr w:rsidR="00E57CF7" w:rsidRPr="004F7E58" w14:paraId="12452B5B" w14:textId="77777777" w:rsidTr="004F7E58">
        <w:tc>
          <w:tcPr>
            <w:tcW w:w="766" w:type="dxa"/>
            <w:vMerge/>
            <w:textDirection w:val="btLr"/>
          </w:tcPr>
          <w:p w14:paraId="5AD89AE6" w14:textId="77777777" w:rsidR="00E57CF7" w:rsidRPr="004F7E58" w:rsidRDefault="00E57CF7" w:rsidP="00507629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2BB42B8" w14:textId="77777777" w:rsidR="00E57CF7" w:rsidRPr="004F7E58" w:rsidRDefault="00E57CF7" w:rsidP="005076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4FB6C87" w14:textId="2CBE3743" w:rsidR="00E57CF7" w:rsidRPr="004F7E58" w:rsidRDefault="00E57CF7" w:rsidP="0050762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II.4.4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elektronskog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vođenja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interaktivnog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registra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taksi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naknada</w:t>
            </w:r>
            <w:proofErr w:type="spellEnd"/>
          </w:p>
        </w:tc>
        <w:tc>
          <w:tcPr>
            <w:tcW w:w="1081" w:type="dxa"/>
            <w:vAlign w:val="center"/>
          </w:tcPr>
          <w:p w14:paraId="5C7F4F28" w14:textId="73826203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0CA2C0" w14:textId="74202CD3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2021. </w:t>
            </w:r>
          </w:p>
        </w:tc>
        <w:tc>
          <w:tcPr>
            <w:tcW w:w="2249" w:type="dxa"/>
            <w:shd w:val="clear" w:color="auto" w:fill="00B050"/>
            <w:vAlign w:val="center"/>
          </w:tcPr>
          <w:p w14:paraId="4ECC64D5" w14:textId="6A94CE66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025392" w:rsidRPr="004F7E58" w14:paraId="25ACF838" w14:textId="77777777" w:rsidTr="004F7E58">
        <w:tc>
          <w:tcPr>
            <w:tcW w:w="766" w:type="dxa"/>
            <w:vMerge/>
            <w:textDirection w:val="btLr"/>
          </w:tcPr>
          <w:p w14:paraId="4082261C" w14:textId="77777777" w:rsidR="00025392" w:rsidRPr="004F7E58" w:rsidRDefault="00025392" w:rsidP="00025392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5BFCCF25" w14:textId="77777777" w:rsidR="00025392" w:rsidRPr="004F7E58" w:rsidRDefault="00025392" w:rsidP="000253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CA3A984" w14:textId="0CA85FD8" w:rsidR="00025392" w:rsidRPr="004F7E58" w:rsidRDefault="00025392" w:rsidP="00025392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II.4.5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elektronskog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porezno-upravnim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predmetima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FMF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7DAAF614" w14:textId="397B300E" w:rsidR="00025392" w:rsidRPr="004F7E58" w:rsidRDefault="00025392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2AF6842" w14:textId="1164947D" w:rsidR="00025392" w:rsidRPr="004F7E58" w:rsidRDefault="00025392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AC1557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3E3F83B8" w14:textId="7B0FBF7C" w:rsidR="00025392" w:rsidRPr="004F7E58" w:rsidRDefault="00025392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E57CF7" w:rsidRPr="004F7E58" w14:paraId="3D76D235" w14:textId="77777777" w:rsidTr="004F7E58">
        <w:tc>
          <w:tcPr>
            <w:tcW w:w="766" w:type="dxa"/>
            <w:vMerge/>
            <w:textDirection w:val="btLr"/>
          </w:tcPr>
          <w:p w14:paraId="1154154C" w14:textId="77777777" w:rsidR="00E57CF7" w:rsidRPr="004F7E58" w:rsidRDefault="00E57CF7" w:rsidP="00BC703A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1C1B503" w14:textId="77777777" w:rsidR="00E57CF7" w:rsidRPr="004F7E58" w:rsidRDefault="00E57CF7" w:rsidP="00BC70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4A1AF7" w14:textId="42FB6AAD" w:rsidR="00E57CF7" w:rsidRPr="004F7E58" w:rsidRDefault="00E57CF7" w:rsidP="00BC703A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II.4.6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elektronskog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predmetima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djelatnosti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igara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sreću</w:t>
            </w:r>
            <w:proofErr w:type="spellEnd"/>
          </w:p>
        </w:tc>
        <w:tc>
          <w:tcPr>
            <w:tcW w:w="1081" w:type="dxa"/>
            <w:vAlign w:val="center"/>
          </w:tcPr>
          <w:p w14:paraId="38F95EA1" w14:textId="7103C3A1" w:rsidR="00E57CF7" w:rsidRPr="004F7E58" w:rsidRDefault="00025392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51B02BB7" w14:textId="7DAE522F" w:rsidR="00E57CF7" w:rsidRPr="004F7E58" w:rsidRDefault="00025392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>,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6E89F487" w14:textId="26320032" w:rsidR="00E57CF7" w:rsidRPr="004F7E58" w:rsidRDefault="00E57CF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815D8B" w:rsidRPr="004F7E58" w14:paraId="329144CE" w14:textId="77777777" w:rsidTr="004F7E58">
        <w:tc>
          <w:tcPr>
            <w:tcW w:w="766" w:type="dxa"/>
            <w:vMerge/>
            <w:textDirection w:val="btLr"/>
          </w:tcPr>
          <w:p w14:paraId="02839C6E" w14:textId="77777777" w:rsidR="00815D8B" w:rsidRPr="004F7E58" w:rsidRDefault="00815D8B" w:rsidP="00815D8B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E14CC74" w14:textId="77777777" w:rsidR="00815D8B" w:rsidRPr="004F7E58" w:rsidRDefault="00815D8B" w:rsidP="00815D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EF4433A" w14:textId="39F92C5E" w:rsidR="00815D8B" w:rsidRPr="004F7E58" w:rsidRDefault="00815D8B" w:rsidP="00815D8B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II.4.7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proces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naplate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081" w:type="dxa"/>
            <w:vAlign w:val="center"/>
          </w:tcPr>
          <w:p w14:paraId="0BC3E4AF" w14:textId="48D3D175" w:rsidR="00815D8B" w:rsidRPr="004F7E58" w:rsidRDefault="00815D8B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528D487" w14:textId="2F9CDA1A" w:rsidR="00815D8B" w:rsidRPr="004F7E58" w:rsidRDefault="00815D8B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="00987319"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="00987319"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987319" w:rsidRPr="004F7E58">
              <w:rPr>
                <w:rFonts w:cstheme="minorHAnsi"/>
                <w:sz w:val="20"/>
                <w:szCs w:val="20"/>
                <w:lang w:val="fr-FR"/>
              </w:rPr>
              <w:t>4.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E3FC5" w14:textId="3A8FE8A7" w:rsidR="00815D8B" w:rsidRPr="004F7E58" w:rsidRDefault="00815D8B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5D0AFA" w:rsidRPr="004F7E58" w14:paraId="0EFB65E0" w14:textId="77777777" w:rsidTr="004F7E58">
        <w:tc>
          <w:tcPr>
            <w:tcW w:w="766" w:type="dxa"/>
            <w:vMerge/>
            <w:textDirection w:val="btLr"/>
          </w:tcPr>
          <w:p w14:paraId="6F96F815" w14:textId="77777777" w:rsidR="005D0AFA" w:rsidRPr="004F7E58" w:rsidRDefault="005D0AFA" w:rsidP="005D0AFA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DB83E06" w14:textId="77777777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03015C3" w14:textId="7C2656CB" w:rsidR="005D0AFA" w:rsidRPr="004F7E58" w:rsidRDefault="005D0AFA" w:rsidP="005D0AF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II.4.8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Smanjiti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postojeći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porezni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dug</w:t>
            </w:r>
            <w:proofErr w:type="spellEnd"/>
          </w:p>
        </w:tc>
        <w:tc>
          <w:tcPr>
            <w:tcW w:w="1081" w:type="dxa"/>
            <w:vAlign w:val="center"/>
          </w:tcPr>
          <w:p w14:paraId="7FBFD2C5" w14:textId="4DBE7921" w:rsidR="005D0AFA" w:rsidRPr="004F7E58" w:rsidRDefault="00987319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EE0000"/>
            <w:vAlign w:val="center"/>
          </w:tcPr>
          <w:p w14:paraId="7D05D65C" w14:textId="4B32E6F6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987319" w:rsidRPr="004F7E58">
              <w:rPr>
                <w:rFonts w:cstheme="minorHAnsi"/>
                <w:sz w:val="20"/>
                <w:szCs w:val="20"/>
              </w:rPr>
              <w:t>ali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</w:t>
            </w:r>
            <w:r w:rsidR="00987319" w:rsidRPr="004F7E58">
              <w:rPr>
                <w:rFonts w:cstheme="minorHAnsi"/>
                <w:sz w:val="20"/>
                <w:szCs w:val="20"/>
              </w:rPr>
              <w:t>4</w:t>
            </w:r>
            <w:r w:rsidRPr="004F7E58">
              <w:rPr>
                <w:rFonts w:cstheme="minorHAnsi"/>
                <w:sz w:val="20"/>
                <w:szCs w:val="20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63FD7EEE" w14:textId="3719159A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815D8B" w:rsidRPr="004F7E58" w14:paraId="3C340D9D" w14:textId="77777777" w:rsidTr="004F7E58">
        <w:tc>
          <w:tcPr>
            <w:tcW w:w="766" w:type="dxa"/>
            <w:vMerge/>
            <w:textDirection w:val="btLr"/>
          </w:tcPr>
          <w:p w14:paraId="41A62FEA" w14:textId="77777777" w:rsidR="00815D8B" w:rsidRPr="004F7E58" w:rsidRDefault="00815D8B" w:rsidP="00815D8B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F88EEDD" w14:textId="77777777" w:rsidR="00815D8B" w:rsidRPr="004F7E58" w:rsidRDefault="00815D8B" w:rsidP="00815D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340595E" w14:textId="78DEDFC0" w:rsidR="00815D8B" w:rsidRPr="004F7E58" w:rsidRDefault="00815D8B" w:rsidP="00815D8B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II.4.9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proces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registracije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poreznih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obveznika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PU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FBiH</w:t>
            </w:r>
            <w:proofErr w:type="spellEnd"/>
          </w:p>
        </w:tc>
        <w:tc>
          <w:tcPr>
            <w:tcW w:w="1081" w:type="dxa"/>
            <w:vAlign w:val="center"/>
          </w:tcPr>
          <w:p w14:paraId="36B1571F" w14:textId="5CAE291E" w:rsidR="00815D8B" w:rsidRPr="004F7E58" w:rsidRDefault="00DC6D92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4C681049" w14:textId="5AA1405F" w:rsidR="00815D8B" w:rsidRPr="004F7E58" w:rsidRDefault="00815D8B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2023. </w:t>
            </w:r>
          </w:p>
        </w:tc>
        <w:tc>
          <w:tcPr>
            <w:tcW w:w="2249" w:type="dxa"/>
            <w:shd w:val="clear" w:color="auto" w:fill="00B050"/>
            <w:vAlign w:val="center"/>
          </w:tcPr>
          <w:p w14:paraId="4F459A0F" w14:textId="1386E9A3" w:rsidR="00815D8B" w:rsidRPr="004F7E58" w:rsidRDefault="00815D8B" w:rsidP="004F7E58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color w:val="000000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color w:val="000000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color w:val="000000"/>
                <w:sz w:val="20"/>
                <w:szCs w:val="20"/>
              </w:rPr>
              <w:t>postignut</w:t>
            </w:r>
            <w:proofErr w:type="spellEnd"/>
          </w:p>
        </w:tc>
      </w:tr>
      <w:tr w:rsidR="00C04AF9" w:rsidRPr="004F7E58" w14:paraId="05BE7BF7" w14:textId="78AF571A" w:rsidTr="004F7E58">
        <w:tc>
          <w:tcPr>
            <w:tcW w:w="766" w:type="dxa"/>
            <w:vMerge w:val="restart"/>
            <w:textDirection w:val="btLr"/>
          </w:tcPr>
          <w:p w14:paraId="50FE04AA" w14:textId="59B9AF31" w:rsidR="00C04AF9" w:rsidRPr="004F7E58" w:rsidRDefault="00C04AF9" w:rsidP="00C04AF9">
            <w:pPr>
              <w:ind w:left="113" w:right="113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PLANIRANJE</w:t>
            </w:r>
            <w:proofErr w:type="spellEnd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 I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BUDŽETIRANJE</w:t>
            </w:r>
            <w:proofErr w:type="spellEnd"/>
          </w:p>
        </w:tc>
        <w:tc>
          <w:tcPr>
            <w:tcW w:w="3341" w:type="dxa"/>
          </w:tcPr>
          <w:p w14:paraId="3C05DAA1" w14:textId="0900AC1E" w:rsidR="00C04AF9" w:rsidRPr="004F7E58" w:rsidRDefault="00C04AF9" w:rsidP="00C04AF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Pravni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</w:t>
            </w:r>
            <w:proofErr w:type="spellEnd"/>
          </w:p>
        </w:tc>
        <w:tc>
          <w:tcPr>
            <w:tcW w:w="4111" w:type="dxa"/>
          </w:tcPr>
          <w:p w14:paraId="47A12968" w14:textId="52732DB2" w:rsidR="00C04AF9" w:rsidRPr="004F7E58" w:rsidRDefault="00C04AF9" w:rsidP="00C04AF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III.1.1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Izmijeniti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budzetima</w:t>
            </w:r>
            <w:proofErr w:type="spellEnd"/>
          </w:p>
        </w:tc>
        <w:tc>
          <w:tcPr>
            <w:tcW w:w="1081" w:type="dxa"/>
            <w:vAlign w:val="center"/>
          </w:tcPr>
          <w:p w14:paraId="0CBE493C" w14:textId="763C6335" w:rsidR="00C04AF9" w:rsidRPr="004F7E58" w:rsidRDefault="00261C2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0C3D16" w14:textId="68D5C657" w:rsidR="00C04AF9" w:rsidRPr="004F7E58" w:rsidRDefault="00C04AF9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 xml:space="preserve">Završena </w:t>
            </w:r>
            <w:r w:rsidR="00261C23" w:rsidRPr="004F7E58">
              <w:rPr>
                <w:noProof/>
                <w:sz w:val="20"/>
                <w:lang w:val="bs-Latn-BA"/>
              </w:rPr>
              <w:t>u 2022.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908156" w14:textId="161CC6B4" w:rsidR="00C04AF9" w:rsidRPr="004F7E58" w:rsidRDefault="00C04AF9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Rezultat mjere postignut</w:t>
            </w:r>
          </w:p>
        </w:tc>
      </w:tr>
      <w:tr w:rsidR="00DC6D92" w:rsidRPr="004F7E58" w14:paraId="33A29869" w14:textId="0E6CC63B" w:rsidTr="004F7E58">
        <w:tc>
          <w:tcPr>
            <w:tcW w:w="766" w:type="dxa"/>
            <w:vMerge/>
          </w:tcPr>
          <w:p w14:paraId="77A65D49" w14:textId="77777777" w:rsidR="00DC6D92" w:rsidRPr="004F7E58" w:rsidRDefault="00DC6D92" w:rsidP="00DC6D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455C051" w14:textId="72D82559" w:rsidR="00DC6D92" w:rsidRPr="004F7E58" w:rsidRDefault="00DC6D92" w:rsidP="00DC6D92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Proširivanje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obuhvata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DOB-a</w:t>
            </w:r>
          </w:p>
        </w:tc>
        <w:tc>
          <w:tcPr>
            <w:tcW w:w="4111" w:type="dxa"/>
          </w:tcPr>
          <w:p w14:paraId="28BFB493" w14:textId="37082985" w:rsidR="00DC6D92" w:rsidRPr="004F7E58" w:rsidRDefault="00DC6D92" w:rsidP="00DC6D92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III.2.1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obuhvata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konsolidiranih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rashoda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DOB.</w:t>
            </w:r>
          </w:p>
        </w:tc>
        <w:tc>
          <w:tcPr>
            <w:tcW w:w="1081" w:type="dxa"/>
            <w:vAlign w:val="center"/>
          </w:tcPr>
          <w:p w14:paraId="5D7F3A60" w14:textId="00749056" w:rsidR="00DC6D92" w:rsidRPr="004F7E58" w:rsidRDefault="00DC6D92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66FF33"/>
            <w:vAlign w:val="center"/>
          </w:tcPr>
          <w:p w14:paraId="74EF5FF2" w14:textId="2F0C39D1" w:rsidR="00DC6D92" w:rsidRPr="004F7E58" w:rsidRDefault="00DC6D92" w:rsidP="006F32A9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Završeno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planirano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2024)</w:t>
            </w:r>
          </w:p>
        </w:tc>
        <w:tc>
          <w:tcPr>
            <w:tcW w:w="2249" w:type="dxa"/>
            <w:shd w:val="clear" w:color="auto" w:fill="C5E0B3" w:themeFill="accent6" w:themeFillTint="66"/>
            <w:vAlign w:val="center"/>
          </w:tcPr>
          <w:p w14:paraId="1E40B669" w14:textId="7899B211" w:rsidR="00DC6D92" w:rsidRPr="004F7E58" w:rsidRDefault="00DC6D92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Rezultat mjere postignut</w:t>
            </w:r>
          </w:p>
        </w:tc>
      </w:tr>
      <w:tr w:rsidR="005D0AFA" w:rsidRPr="004F7E58" w14:paraId="45EBF8BF" w14:textId="7FACD8F8" w:rsidTr="004F7E58">
        <w:tc>
          <w:tcPr>
            <w:tcW w:w="766" w:type="dxa"/>
            <w:vMerge/>
          </w:tcPr>
          <w:p w14:paraId="7FBDCBCF" w14:textId="77777777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F40B1F8" w14:textId="77777777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F854FA" w14:textId="29872786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III.2.2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Proširivanje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DOB-a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kantona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uključivanjem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nižih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fondova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81" w:type="dxa"/>
            <w:vAlign w:val="center"/>
          </w:tcPr>
          <w:p w14:paraId="54E0EB83" w14:textId="07BB63B3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3B7E19F" w14:textId="7348C611" w:rsidR="005D0AFA" w:rsidRPr="004F7E58" w:rsidRDefault="005D0AFA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794E67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50577338" w14:textId="51AA784A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5D0AFA" w:rsidRPr="004F7E58" w14:paraId="4C8263EB" w14:textId="6FEC18AA" w:rsidTr="004F7E58">
        <w:tc>
          <w:tcPr>
            <w:tcW w:w="766" w:type="dxa"/>
            <w:vMerge/>
          </w:tcPr>
          <w:p w14:paraId="08B28338" w14:textId="77777777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360A7ED" w14:textId="6E256A74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E170BDB" w14:textId="7E2A3CAC" w:rsidR="005D0AFA" w:rsidRPr="004F7E58" w:rsidRDefault="005D0AFA" w:rsidP="005D0AFA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III.2.3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Priprema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prijedloga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budžeta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n+2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formatu</w:t>
            </w:r>
            <w:proofErr w:type="spellEnd"/>
          </w:p>
        </w:tc>
        <w:tc>
          <w:tcPr>
            <w:tcW w:w="1081" w:type="dxa"/>
            <w:vAlign w:val="center"/>
          </w:tcPr>
          <w:p w14:paraId="052ECBD2" w14:textId="2C84A975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F4DE31F" w14:textId="32D2BB57" w:rsidR="005D0AFA" w:rsidRPr="004F7E58" w:rsidRDefault="005D0AFA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794E67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1A0F0012" w14:textId="5A0F2433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5D0AFA" w:rsidRPr="004F7E58" w14:paraId="4E6C9DA1" w14:textId="43ABA287" w:rsidTr="004F7E58">
        <w:trPr>
          <w:trHeight w:val="77"/>
        </w:trPr>
        <w:tc>
          <w:tcPr>
            <w:tcW w:w="766" w:type="dxa"/>
            <w:vMerge/>
          </w:tcPr>
          <w:p w14:paraId="413FFCBF" w14:textId="77777777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ED00513" w14:textId="78D74FBD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Uključiti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vanbudžetske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fondove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direkcije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puteve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budžete</w:t>
            </w:r>
            <w:proofErr w:type="spellEnd"/>
          </w:p>
        </w:tc>
        <w:tc>
          <w:tcPr>
            <w:tcW w:w="4111" w:type="dxa"/>
          </w:tcPr>
          <w:p w14:paraId="1D5F9401" w14:textId="36701F6F" w:rsidR="005D0AFA" w:rsidRPr="004F7E58" w:rsidRDefault="005D0AFA" w:rsidP="005D0AFA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III.3.1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Uključivanje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vanbudžetskih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fondova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Federacije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BiH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Federacije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BiH</w:t>
            </w:r>
          </w:p>
        </w:tc>
        <w:tc>
          <w:tcPr>
            <w:tcW w:w="1081" w:type="dxa"/>
            <w:vAlign w:val="center"/>
          </w:tcPr>
          <w:p w14:paraId="76BDA5A1" w14:textId="4A2EE180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64880553" w14:textId="4928EEB4" w:rsidR="005D0AFA" w:rsidRPr="004F7E58" w:rsidRDefault="005D0AFA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794E67" w:rsidRPr="004F7E58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51413A76" w14:textId="18B31FBB" w:rsidR="005D0AFA" w:rsidRPr="004F7E58" w:rsidRDefault="005D0AFA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C04AF9" w:rsidRPr="004F7E58" w14:paraId="7B12B390" w14:textId="77777777" w:rsidTr="004F7E58">
        <w:tc>
          <w:tcPr>
            <w:tcW w:w="766" w:type="dxa"/>
            <w:vMerge/>
            <w:textDirection w:val="btLr"/>
          </w:tcPr>
          <w:p w14:paraId="2DA1BFE0" w14:textId="77777777" w:rsidR="00C04AF9" w:rsidRPr="004F7E58" w:rsidRDefault="00C04AF9" w:rsidP="00C04AF9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14AC8E5" w14:textId="77777777" w:rsidR="00C04AF9" w:rsidRPr="004F7E58" w:rsidRDefault="00C04AF9" w:rsidP="00C04A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D09CED6" w14:textId="444011AB" w:rsidR="00C04AF9" w:rsidRPr="004F7E58" w:rsidRDefault="00C04AF9" w:rsidP="00C04AF9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III.3.2 Na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kantona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uključiti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vanbudžetske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fondove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direkcije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puteve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visokoškolske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ustanove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budžete</w:t>
            </w:r>
            <w:proofErr w:type="spellEnd"/>
          </w:p>
        </w:tc>
        <w:tc>
          <w:tcPr>
            <w:tcW w:w="1081" w:type="dxa"/>
            <w:vAlign w:val="center"/>
          </w:tcPr>
          <w:p w14:paraId="1C50B2D3" w14:textId="3EF76452" w:rsidR="00C04AF9" w:rsidRPr="004F7E58" w:rsidRDefault="00794E67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5EE8FC47" w14:textId="0DF72850" w:rsidR="00C04AF9" w:rsidRPr="004F7E58" w:rsidRDefault="00794E67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2B230F67" w14:textId="4D7CE54E" w:rsidR="00C04AF9" w:rsidRPr="004F7E58" w:rsidRDefault="00794E67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A31E7F" w:rsidRPr="004F7E58" w14:paraId="63FF339A" w14:textId="77777777" w:rsidTr="004F7E58">
        <w:tc>
          <w:tcPr>
            <w:tcW w:w="766" w:type="dxa"/>
            <w:vMerge/>
            <w:textDirection w:val="btLr"/>
          </w:tcPr>
          <w:p w14:paraId="13DCFEDA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029A86B" w14:textId="795335FF" w:rsidR="00A31E7F" w:rsidRPr="004F7E58" w:rsidRDefault="00A31E7F" w:rsidP="00A31E7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III.4.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Unapređenje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budžetiranja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programskom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formatu</w:t>
            </w:r>
            <w:proofErr w:type="spellEnd"/>
          </w:p>
        </w:tc>
        <w:tc>
          <w:tcPr>
            <w:tcW w:w="4111" w:type="dxa"/>
          </w:tcPr>
          <w:p w14:paraId="792EE5B0" w14:textId="5CC03C6E" w:rsidR="00A31E7F" w:rsidRPr="004F7E58" w:rsidRDefault="00A31E7F" w:rsidP="00A31E7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III.4.1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kadrovskih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Sektora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budžet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javne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rashode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Federalnog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ministarstva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finansija</w:t>
            </w:r>
            <w:proofErr w:type="spellEnd"/>
          </w:p>
        </w:tc>
        <w:tc>
          <w:tcPr>
            <w:tcW w:w="1081" w:type="dxa"/>
            <w:vAlign w:val="center"/>
          </w:tcPr>
          <w:p w14:paraId="172E8275" w14:textId="5135C9D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6E4F7D2C" w14:textId="243ADAA7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81E370" w14:textId="44F119FA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 xml:space="preserve">Rezultat je djelimično postignut </w:t>
            </w:r>
          </w:p>
        </w:tc>
      </w:tr>
      <w:tr w:rsidR="00A31E7F" w:rsidRPr="004F7E58" w14:paraId="7BD0B621" w14:textId="77777777" w:rsidTr="004F7E58">
        <w:tc>
          <w:tcPr>
            <w:tcW w:w="766" w:type="dxa"/>
            <w:vMerge/>
            <w:textDirection w:val="btLr"/>
          </w:tcPr>
          <w:p w14:paraId="3AEA36F1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64A8355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9D2E2B" w14:textId="0E5D2A63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III.4.2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Izmjene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podzakonskih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primjenu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budžetiranja</w:t>
            </w:r>
            <w:proofErr w:type="spellEnd"/>
          </w:p>
        </w:tc>
        <w:tc>
          <w:tcPr>
            <w:tcW w:w="1081" w:type="dxa"/>
            <w:vAlign w:val="center"/>
          </w:tcPr>
          <w:p w14:paraId="3000FCBE" w14:textId="6B884592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30ECC5B0" w14:textId="53037C43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68C16A" w14:textId="1AC1E699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 xml:space="preserve">Rezultat je djelimično postignut </w:t>
            </w:r>
          </w:p>
        </w:tc>
      </w:tr>
      <w:tr w:rsidR="00A31E7F" w:rsidRPr="004F7E58" w14:paraId="6381836A" w14:textId="77777777" w:rsidTr="004F7E58">
        <w:tc>
          <w:tcPr>
            <w:tcW w:w="766" w:type="dxa"/>
            <w:vMerge/>
            <w:textDirection w:val="btLr"/>
          </w:tcPr>
          <w:p w14:paraId="253FB3E6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7E5346E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F192A70" w14:textId="133D5771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III.4.3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Priprema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metodologije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integrisanog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planiranja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vezano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politike</w:t>
            </w:r>
            <w:proofErr w:type="spellEnd"/>
          </w:p>
        </w:tc>
        <w:tc>
          <w:tcPr>
            <w:tcW w:w="1081" w:type="dxa"/>
            <w:vAlign w:val="center"/>
          </w:tcPr>
          <w:p w14:paraId="137DF9A9" w14:textId="1FA8D2A5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C5E0B3" w:themeFill="accent6" w:themeFillTint="66"/>
            <w:vAlign w:val="center"/>
          </w:tcPr>
          <w:p w14:paraId="62DF7C3E" w14:textId="0914FD72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r w:rsidR="00E20FBF" w:rsidRPr="004F7E58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E20FBF" w:rsidRPr="004F7E58">
              <w:rPr>
                <w:rFonts w:cstheme="minorHAnsi"/>
                <w:sz w:val="20"/>
                <w:szCs w:val="20"/>
              </w:rPr>
              <w:t>predviđeno</w:t>
            </w:r>
            <w:proofErr w:type="spellEnd"/>
            <w:r w:rsidR="00E20FBF" w:rsidRPr="004F7E58">
              <w:rPr>
                <w:rFonts w:cstheme="minorHAnsi"/>
                <w:sz w:val="20"/>
                <w:szCs w:val="20"/>
              </w:rPr>
              <w:t xml:space="preserve"> u 2024.)</w:t>
            </w:r>
          </w:p>
        </w:tc>
        <w:tc>
          <w:tcPr>
            <w:tcW w:w="2249" w:type="dxa"/>
            <w:shd w:val="clear" w:color="auto" w:fill="DBDBDB" w:themeFill="accent3" w:themeFillTint="66"/>
            <w:vAlign w:val="center"/>
          </w:tcPr>
          <w:p w14:paraId="32AE4B0A" w14:textId="0BF699C3" w:rsidR="00A31E7F" w:rsidRPr="004F7E58" w:rsidRDefault="00A31E7F" w:rsidP="004F7E58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i/>
                <w:sz w:val="20"/>
                <w:szCs w:val="20"/>
              </w:rPr>
              <w:t>Vidi</w:t>
            </w:r>
            <w:proofErr w:type="spellEnd"/>
            <w:r w:rsidRPr="004F7E58">
              <w:rPr>
                <w:rFonts w:cstheme="minorHAnsi"/>
                <w:i/>
                <w:sz w:val="20"/>
                <w:szCs w:val="20"/>
              </w:rPr>
              <w:t xml:space="preserve"> III.</w:t>
            </w:r>
            <w:proofErr w:type="gramStart"/>
            <w:r w:rsidRPr="004F7E58">
              <w:rPr>
                <w:rFonts w:cstheme="minorHAnsi"/>
                <w:i/>
                <w:sz w:val="20"/>
                <w:szCs w:val="20"/>
              </w:rPr>
              <w:t>4.B</w:t>
            </w:r>
            <w:proofErr w:type="gramEnd"/>
          </w:p>
        </w:tc>
      </w:tr>
      <w:tr w:rsidR="00A31E7F" w:rsidRPr="004F7E58" w14:paraId="5935DC29" w14:textId="77777777" w:rsidTr="004F7E58">
        <w:tc>
          <w:tcPr>
            <w:tcW w:w="766" w:type="dxa"/>
            <w:vMerge/>
            <w:textDirection w:val="btLr"/>
          </w:tcPr>
          <w:p w14:paraId="40785893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3EAC3CF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066D62F" w14:textId="65605E92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III.4.4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Priprema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implementacija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akcionih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planova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definisanje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osnovu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politika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pružanja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usluga</w:t>
            </w:r>
            <w:proofErr w:type="spellEnd"/>
          </w:p>
        </w:tc>
        <w:tc>
          <w:tcPr>
            <w:tcW w:w="1081" w:type="dxa"/>
            <w:vAlign w:val="center"/>
          </w:tcPr>
          <w:p w14:paraId="443397D3" w14:textId="340AFB4B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0A544FD3" w14:textId="5F79FD7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DBDBDB" w:themeFill="accent3" w:themeFillTint="66"/>
            <w:vAlign w:val="center"/>
          </w:tcPr>
          <w:p w14:paraId="5F8700C8" w14:textId="11E5668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i/>
                <w:sz w:val="20"/>
                <w:szCs w:val="20"/>
              </w:rPr>
              <w:t>Vidi</w:t>
            </w:r>
            <w:proofErr w:type="spellEnd"/>
            <w:r w:rsidRPr="004F7E58">
              <w:rPr>
                <w:rFonts w:cstheme="minorHAnsi"/>
                <w:i/>
                <w:sz w:val="20"/>
                <w:szCs w:val="20"/>
              </w:rPr>
              <w:t xml:space="preserve"> III.</w:t>
            </w:r>
            <w:proofErr w:type="gramStart"/>
            <w:r w:rsidRPr="004F7E58">
              <w:rPr>
                <w:rFonts w:cstheme="minorHAnsi"/>
                <w:i/>
                <w:sz w:val="20"/>
                <w:szCs w:val="20"/>
              </w:rPr>
              <w:t>4.B</w:t>
            </w:r>
            <w:proofErr w:type="gramEnd"/>
          </w:p>
        </w:tc>
      </w:tr>
      <w:tr w:rsidR="00A31E7F" w:rsidRPr="004F7E58" w14:paraId="6FB5B656" w14:textId="77777777" w:rsidTr="004F7E58">
        <w:tc>
          <w:tcPr>
            <w:tcW w:w="766" w:type="dxa"/>
            <w:vMerge/>
            <w:textDirection w:val="btLr"/>
          </w:tcPr>
          <w:p w14:paraId="4266D54D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E11D392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CEE77C3" w14:textId="2993C47B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III.4.5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Pomoć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budžetskim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korisnicima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prepoznavanju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njihovih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elemenata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analizi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elemenata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njihove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konačne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obrade</w:t>
            </w:r>
            <w:proofErr w:type="spellEnd"/>
          </w:p>
        </w:tc>
        <w:tc>
          <w:tcPr>
            <w:tcW w:w="1081" w:type="dxa"/>
            <w:vAlign w:val="center"/>
          </w:tcPr>
          <w:p w14:paraId="337520B9" w14:textId="1718A37C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F752B7B" w14:textId="49C9E95B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Završena u 2021. godini</w:t>
            </w:r>
          </w:p>
        </w:tc>
        <w:tc>
          <w:tcPr>
            <w:tcW w:w="2249" w:type="dxa"/>
            <w:shd w:val="clear" w:color="auto" w:fill="DBDBDB" w:themeFill="accent3" w:themeFillTint="66"/>
            <w:vAlign w:val="center"/>
          </w:tcPr>
          <w:p w14:paraId="3D11D218" w14:textId="3FB04045" w:rsidR="00A31E7F" w:rsidRPr="004F7E58" w:rsidRDefault="00A31E7F" w:rsidP="004F7E58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i/>
                <w:sz w:val="20"/>
                <w:szCs w:val="20"/>
              </w:rPr>
              <w:t>Vidi</w:t>
            </w:r>
            <w:proofErr w:type="spellEnd"/>
            <w:r w:rsidRPr="004F7E58">
              <w:rPr>
                <w:rFonts w:cstheme="minorHAnsi"/>
                <w:i/>
                <w:sz w:val="20"/>
                <w:szCs w:val="20"/>
              </w:rPr>
              <w:t xml:space="preserve"> III.</w:t>
            </w:r>
            <w:proofErr w:type="gramStart"/>
            <w:r w:rsidRPr="004F7E58">
              <w:rPr>
                <w:rFonts w:cstheme="minorHAnsi"/>
                <w:i/>
                <w:sz w:val="20"/>
                <w:szCs w:val="20"/>
              </w:rPr>
              <w:t>4.B</w:t>
            </w:r>
            <w:proofErr w:type="gramEnd"/>
          </w:p>
        </w:tc>
      </w:tr>
      <w:tr w:rsidR="00A31E7F" w:rsidRPr="004F7E58" w14:paraId="78A2A434" w14:textId="77777777" w:rsidTr="004F7E58">
        <w:tc>
          <w:tcPr>
            <w:tcW w:w="766" w:type="dxa"/>
            <w:vMerge/>
            <w:textDirection w:val="btLr"/>
          </w:tcPr>
          <w:p w14:paraId="4AAA298E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D0903F3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DE97989" w14:textId="443A0806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III.4.6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Izrada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metodologije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učinka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njeno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provođenje</w:t>
            </w:r>
            <w:proofErr w:type="spellEnd"/>
          </w:p>
        </w:tc>
        <w:tc>
          <w:tcPr>
            <w:tcW w:w="1081" w:type="dxa"/>
            <w:vAlign w:val="center"/>
          </w:tcPr>
          <w:p w14:paraId="60E86B23" w14:textId="7A936EB2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F630CE8" w14:textId="7545FD1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Završena u 2021. godini</w:t>
            </w:r>
          </w:p>
        </w:tc>
        <w:tc>
          <w:tcPr>
            <w:tcW w:w="2249" w:type="dxa"/>
            <w:shd w:val="clear" w:color="auto" w:fill="DBDBDB" w:themeFill="accent3" w:themeFillTint="66"/>
            <w:vAlign w:val="center"/>
          </w:tcPr>
          <w:p w14:paraId="25F30F67" w14:textId="722968E6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i/>
                <w:sz w:val="20"/>
                <w:szCs w:val="20"/>
              </w:rPr>
              <w:t>Vidi</w:t>
            </w:r>
            <w:proofErr w:type="spellEnd"/>
            <w:r w:rsidRPr="004F7E58">
              <w:rPr>
                <w:rFonts w:cstheme="minorHAnsi"/>
                <w:i/>
                <w:sz w:val="20"/>
                <w:szCs w:val="20"/>
              </w:rPr>
              <w:t xml:space="preserve"> III.</w:t>
            </w:r>
            <w:proofErr w:type="gramStart"/>
            <w:r w:rsidRPr="004F7E58">
              <w:rPr>
                <w:rFonts w:cstheme="minorHAnsi"/>
                <w:i/>
                <w:sz w:val="20"/>
                <w:szCs w:val="20"/>
              </w:rPr>
              <w:t>4.B</w:t>
            </w:r>
            <w:proofErr w:type="gramEnd"/>
          </w:p>
        </w:tc>
      </w:tr>
      <w:tr w:rsidR="00A31E7F" w:rsidRPr="004F7E58" w14:paraId="606EC22C" w14:textId="77777777" w:rsidTr="004F7E58">
        <w:tc>
          <w:tcPr>
            <w:tcW w:w="766" w:type="dxa"/>
            <w:vMerge/>
            <w:textDirection w:val="btLr"/>
          </w:tcPr>
          <w:p w14:paraId="0E7ADA4F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A15BFC6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F6AD5D0" w14:textId="1D2843E4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III.4.7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Obuka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konceptima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metodologiji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budžetiranja</w:t>
            </w:r>
            <w:proofErr w:type="spellEnd"/>
          </w:p>
        </w:tc>
        <w:tc>
          <w:tcPr>
            <w:tcW w:w="1081" w:type="dxa"/>
            <w:vAlign w:val="center"/>
          </w:tcPr>
          <w:p w14:paraId="50995FF5" w14:textId="05FA73CC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27031A37" w14:textId="72A1F37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DBDBDB" w:themeFill="accent3" w:themeFillTint="66"/>
            <w:vAlign w:val="center"/>
          </w:tcPr>
          <w:p w14:paraId="3D116C26" w14:textId="360D7F7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i/>
                <w:sz w:val="20"/>
                <w:szCs w:val="20"/>
              </w:rPr>
              <w:t>Vidi</w:t>
            </w:r>
            <w:proofErr w:type="spellEnd"/>
            <w:r w:rsidRPr="004F7E58">
              <w:rPr>
                <w:rFonts w:cstheme="minorHAnsi"/>
                <w:i/>
                <w:sz w:val="20"/>
                <w:szCs w:val="20"/>
              </w:rPr>
              <w:t xml:space="preserve"> III.</w:t>
            </w:r>
            <w:proofErr w:type="gramStart"/>
            <w:r w:rsidRPr="004F7E58">
              <w:rPr>
                <w:rFonts w:cstheme="minorHAnsi"/>
                <w:i/>
                <w:sz w:val="20"/>
                <w:szCs w:val="20"/>
              </w:rPr>
              <w:t>4.B</w:t>
            </w:r>
            <w:proofErr w:type="gramEnd"/>
          </w:p>
        </w:tc>
      </w:tr>
      <w:tr w:rsidR="00A31E7F" w:rsidRPr="004F7E58" w14:paraId="7AF0F58A" w14:textId="77777777" w:rsidTr="004F7E58">
        <w:tc>
          <w:tcPr>
            <w:tcW w:w="766" w:type="dxa"/>
            <w:vMerge/>
            <w:textDirection w:val="btLr"/>
          </w:tcPr>
          <w:p w14:paraId="353B0737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4908DB1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898886F" w14:textId="79976C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III.4.8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JLS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programsko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budžetiranje</w:t>
            </w:r>
            <w:proofErr w:type="spellEnd"/>
          </w:p>
        </w:tc>
        <w:tc>
          <w:tcPr>
            <w:tcW w:w="1081" w:type="dxa"/>
            <w:vAlign w:val="center"/>
          </w:tcPr>
          <w:p w14:paraId="7EB6C896" w14:textId="4DF205A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53A2086" w14:textId="2019E499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237ECB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61FE7C3C" w14:textId="1D7D6F2D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1B698031" w14:textId="77777777" w:rsidTr="004F7E58">
        <w:tc>
          <w:tcPr>
            <w:tcW w:w="766" w:type="dxa"/>
            <w:vMerge/>
            <w:textDirection w:val="btLr"/>
          </w:tcPr>
          <w:p w14:paraId="594AD718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72A9A99" w14:textId="6BF714C9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III.5.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Poboljšanje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software-a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pripremu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trezorskog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FBiH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kantona</w:t>
            </w:r>
            <w:proofErr w:type="spellEnd"/>
          </w:p>
        </w:tc>
        <w:tc>
          <w:tcPr>
            <w:tcW w:w="4111" w:type="dxa"/>
          </w:tcPr>
          <w:p w14:paraId="2879A21F" w14:textId="70ADC6EA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III.5.1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Analiza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potreba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nadogradnjom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software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trezorskog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1081" w:type="dxa"/>
            <w:vAlign w:val="center"/>
          </w:tcPr>
          <w:p w14:paraId="5D4D3E20" w14:textId="2E0D7968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7553AAC" w14:textId="306C9FB1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lang w:val="bs-Latn-BA"/>
              </w:rPr>
              <w:t>Završena u 2021. godini</w:t>
            </w:r>
          </w:p>
        </w:tc>
        <w:tc>
          <w:tcPr>
            <w:tcW w:w="2249" w:type="dxa"/>
            <w:shd w:val="clear" w:color="auto" w:fill="FF00FF"/>
            <w:vAlign w:val="center"/>
          </w:tcPr>
          <w:p w14:paraId="1BB8CBA7" w14:textId="616DC070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definiran</w:t>
            </w:r>
            <w:proofErr w:type="spellEnd"/>
          </w:p>
        </w:tc>
      </w:tr>
      <w:tr w:rsidR="00A31E7F" w:rsidRPr="004F7E58" w14:paraId="29C6D224" w14:textId="77777777" w:rsidTr="004F7E58">
        <w:tc>
          <w:tcPr>
            <w:tcW w:w="766" w:type="dxa"/>
            <w:vMerge/>
            <w:textDirection w:val="btLr"/>
          </w:tcPr>
          <w:p w14:paraId="3CD10381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9804EEB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A606C29" w14:textId="19AC1865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III.5.2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Nadogradnja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software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prirpemu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trezorskog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(DOB, n+2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programski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budzet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FBIH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kantona</w:t>
            </w:r>
            <w:proofErr w:type="spellEnd"/>
          </w:p>
        </w:tc>
        <w:tc>
          <w:tcPr>
            <w:tcW w:w="1081" w:type="dxa"/>
            <w:vAlign w:val="center"/>
          </w:tcPr>
          <w:p w14:paraId="30220BC1" w14:textId="307A7FB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C10F" w14:textId="64F5A7F4" w:rsidR="00A31E7F" w:rsidRPr="004F7E58" w:rsidRDefault="00A31E7F" w:rsidP="004F7E58">
            <w:pPr>
              <w:rPr>
                <w:noProof/>
                <w:sz w:val="20"/>
                <w:lang w:val="bs-Latn-BA"/>
              </w:rPr>
            </w:pPr>
            <w:r w:rsidRPr="004F7E58">
              <w:rPr>
                <w:noProof/>
                <w:sz w:val="20"/>
                <w:lang w:val="bs-Latn-BA"/>
              </w:rPr>
              <w:t>Aktivnost brisana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D09" w14:textId="05EE4940" w:rsidR="00A31E7F" w:rsidRPr="004F7E58" w:rsidRDefault="00A31E7F" w:rsidP="004F7E58">
            <w:pPr>
              <w:rPr>
                <w:noProof/>
                <w:sz w:val="20"/>
                <w:lang w:val="bs-Latn-BA"/>
              </w:rPr>
            </w:pPr>
            <w:r w:rsidRPr="004F7E58">
              <w:rPr>
                <w:noProof/>
                <w:sz w:val="20"/>
                <w:lang w:val="bs-Latn-BA"/>
              </w:rPr>
              <w:t>Rezultat mjere brisan</w:t>
            </w:r>
          </w:p>
        </w:tc>
      </w:tr>
      <w:tr w:rsidR="00A31E7F" w:rsidRPr="004F7E58" w14:paraId="59FA074F" w14:textId="77777777" w:rsidTr="004F7E58">
        <w:tc>
          <w:tcPr>
            <w:tcW w:w="766" w:type="dxa"/>
            <w:vMerge/>
            <w:textDirection w:val="btLr"/>
          </w:tcPr>
          <w:p w14:paraId="6CD5F4BA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71A6FFD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C4736D1" w14:textId="6E0182C2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III.5.3.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novog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IT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pripremu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izradu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1081" w:type="dxa"/>
            <w:vAlign w:val="center"/>
          </w:tcPr>
          <w:p w14:paraId="530EDE12" w14:textId="0DF3FE24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7C6A32F9" w14:textId="075A6F2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113283E1" w14:textId="755C773B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A31E7F" w:rsidRPr="004F7E58" w14:paraId="6C0D9E7E" w14:textId="77777777" w:rsidTr="004F7E58">
        <w:tc>
          <w:tcPr>
            <w:tcW w:w="766" w:type="dxa"/>
            <w:vMerge/>
            <w:textDirection w:val="btLr"/>
          </w:tcPr>
          <w:p w14:paraId="39234185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8955593" w14:textId="2E6C0A3F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III.6.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planiranja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monitoringa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investicija</w:t>
            </w:r>
            <w:proofErr w:type="spellEnd"/>
          </w:p>
        </w:tc>
        <w:tc>
          <w:tcPr>
            <w:tcW w:w="4111" w:type="dxa"/>
          </w:tcPr>
          <w:p w14:paraId="34009C1B" w14:textId="313FFE85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III.6.1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Poboljšanje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pravnog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procesa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unutar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</w:t>
            </w:r>
          </w:p>
        </w:tc>
        <w:tc>
          <w:tcPr>
            <w:tcW w:w="1081" w:type="dxa"/>
            <w:vAlign w:val="center"/>
          </w:tcPr>
          <w:p w14:paraId="16717806" w14:textId="6D89DB04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1A164B35" w14:textId="0D002616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644FFF9A" w14:textId="05829D9F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A31E7F" w:rsidRPr="004F7E58" w14:paraId="3F9CF617" w14:textId="77777777" w:rsidTr="004F7E58">
        <w:tc>
          <w:tcPr>
            <w:tcW w:w="766" w:type="dxa"/>
            <w:vMerge/>
            <w:textDirection w:val="btLr"/>
          </w:tcPr>
          <w:p w14:paraId="6AE76907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  <w:bookmarkStart w:id="41" w:name="_Hlk109984586"/>
          </w:p>
        </w:tc>
        <w:tc>
          <w:tcPr>
            <w:tcW w:w="3341" w:type="dxa"/>
          </w:tcPr>
          <w:p w14:paraId="4AB52036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A19C66" w14:textId="1A88A8DA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III.6.2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Izgradnja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planiranje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monitoring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investicija</w:t>
            </w:r>
            <w:proofErr w:type="spellEnd"/>
          </w:p>
        </w:tc>
        <w:tc>
          <w:tcPr>
            <w:tcW w:w="1081" w:type="dxa"/>
            <w:vAlign w:val="center"/>
          </w:tcPr>
          <w:p w14:paraId="4FF9B44B" w14:textId="1F5407D1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398686C6" w14:textId="7AC08897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78ED387C" w14:textId="6BCD0011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bookmarkEnd w:id="41"/>
      <w:tr w:rsidR="00A31E7F" w:rsidRPr="004F7E58" w14:paraId="4B1C005F" w14:textId="77777777" w:rsidTr="004F7E58">
        <w:tc>
          <w:tcPr>
            <w:tcW w:w="766" w:type="dxa"/>
            <w:vMerge/>
            <w:textDirection w:val="btLr"/>
          </w:tcPr>
          <w:p w14:paraId="31FCFCF5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51811952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B54238" w14:textId="1C445D3C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III.6.3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PIMIS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IT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1081" w:type="dxa"/>
            <w:vAlign w:val="center"/>
          </w:tcPr>
          <w:p w14:paraId="24BA399C" w14:textId="6FBBD674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1740D24B" w14:textId="3E065B5F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2CD038B3" w14:textId="28F09084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A31E7F" w:rsidRPr="004F7E58" w14:paraId="318107FE" w14:textId="77777777" w:rsidTr="004F7E58">
        <w:tc>
          <w:tcPr>
            <w:tcW w:w="766" w:type="dxa"/>
            <w:vMerge/>
            <w:textDirection w:val="btLr"/>
          </w:tcPr>
          <w:p w14:paraId="6E23232C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55094286" w14:textId="052CEA4F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III.7.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Uspostava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struktura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sredstvima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Evropske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unije</w:t>
            </w:r>
            <w:proofErr w:type="spellEnd"/>
          </w:p>
        </w:tc>
        <w:tc>
          <w:tcPr>
            <w:tcW w:w="4111" w:type="dxa"/>
          </w:tcPr>
          <w:p w14:paraId="5F49EC1D" w14:textId="51C1A8C4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III.7.1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Izrada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mape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puta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uspostavu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struktura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sredstvima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Evropske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unije</w:t>
            </w:r>
            <w:proofErr w:type="spellEnd"/>
          </w:p>
        </w:tc>
        <w:tc>
          <w:tcPr>
            <w:tcW w:w="1081" w:type="dxa"/>
            <w:vAlign w:val="center"/>
          </w:tcPr>
          <w:p w14:paraId="31F401C8" w14:textId="3E818A52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78F5290C" w14:textId="2E88D262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</w:t>
            </w:r>
            <w:r w:rsidR="00237ECB">
              <w:rPr>
                <w:rFonts w:cstheme="minorHAnsi"/>
                <w:sz w:val="20"/>
                <w:szCs w:val="20"/>
                <w:lang w:val="fr-FR"/>
              </w:rPr>
              <w:t>4</w:t>
            </w:r>
            <w:r w:rsidRPr="004F7E58">
              <w:rPr>
                <w:rFonts w:cstheme="minorHAnsi"/>
                <w:sz w:val="20"/>
                <w:szCs w:val="20"/>
                <w:lang w:val="fr-FR"/>
              </w:rPr>
              <w:t>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7034B7EE" w14:textId="59D6B141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410D0BB4" w14:textId="1350DF41" w:rsidTr="004F7E58">
        <w:tc>
          <w:tcPr>
            <w:tcW w:w="766" w:type="dxa"/>
            <w:vMerge w:val="restart"/>
            <w:textDirection w:val="btLr"/>
            <w:vAlign w:val="center"/>
          </w:tcPr>
          <w:p w14:paraId="55654C86" w14:textId="269156DB" w:rsidR="00A31E7F" w:rsidRPr="004F7E58" w:rsidRDefault="00A31E7F" w:rsidP="00A31E7F">
            <w:pPr>
              <w:ind w:left="113" w:right="113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IV.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ZVRŠENJE</w:t>
            </w:r>
            <w:proofErr w:type="spellEnd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3341" w:type="dxa"/>
          </w:tcPr>
          <w:p w14:paraId="2A35A618" w14:textId="4B593CF3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Kontrola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obaveza</w:t>
            </w:r>
            <w:proofErr w:type="spellEnd"/>
          </w:p>
        </w:tc>
        <w:tc>
          <w:tcPr>
            <w:tcW w:w="4111" w:type="dxa"/>
          </w:tcPr>
          <w:p w14:paraId="6731B265" w14:textId="61F87485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IV.1.1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edukacije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korisnika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korištenju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modula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narudžbenice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rezervacije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nabavke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81" w:type="dxa"/>
            <w:vAlign w:val="center"/>
          </w:tcPr>
          <w:p w14:paraId="7895B80F" w14:textId="25EC2675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2C322D1" w14:textId="4170BE58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00B050"/>
            <w:vAlign w:val="center"/>
          </w:tcPr>
          <w:p w14:paraId="331B8012" w14:textId="23BD7A46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potpuno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A31E7F" w:rsidRPr="004F7E58" w14:paraId="2953DFD7" w14:textId="07FCBE13" w:rsidTr="004F7E58">
        <w:tc>
          <w:tcPr>
            <w:tcW w:w="766" w:type="dxa"/>
            <w:vMerge/>
          </w:tcPr>
          <w:p w14:paraId="2C86D813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C1C2905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F5E6FAB" w14:textId="34389039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IV.1.2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Širenje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korištenja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aplikacije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kroz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dodjelu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licenci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drugim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korisnicima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aplikacije</w:t>
            </w:r>
            <w:proofErr w:type="spellEnd"/>
          </w:p>
        </w:tc>
        <w:tc>
          <w:tcPr>
            <w:tcW w:w="1081" w:type="dxa"/>
            <w:vAlign w:val="center"/>
          </w:tcPr>
          <w:p w14:paraId="14EEDE92" w14:textId="217F803C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DD4CCD" w14:textId="2AEC4CA0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00B050"/>
            <w:vAlign w:val="center"/>
          </w:tcPr>
          <w:p w14:paraId="06D80C13" w14:textId="42ECB3D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potpuno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A31E7F" w:rsidRPr="004F7E58" w14:paraId="6F0D36A1" w14:textId="5C9F97A9" w:rsidTr="004F7E58">
        <w:tc>
          <w:tcPr>
            <w:tcW w:w="766" w:type="dxa"/>
            <w:vMerge/>
          </w:tcPr>
          <w:p w14:paraId="11BEF1A8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549767F" w14:textId="746738AC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Rješavanje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neizmirenih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obaveza</w:t>
            </w:r>
            <w:proofErr w:type="spellEnd"/>
          </w:p>
        </w:tc>
        <w:tc>
          <w:tcPr>
            <w:tcW w:w="4111" w:type="dxa"/>
          </w:tcPr>
          <w:p w14:paraId="4E53D661" w14:textId="4EFBD6AD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IV.2.1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Izmjena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obrazca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7 -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Obrazac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neizmirenih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obaveza</w:t>
            </w:r>
            <w:proofErr w:type="spellEnd"/>
          </w:p>
        </w:tc>
        <w:tc>
          <w:tcPr>
            <w:tcW w:w="1081" w:type="dxa"/>
            <w:vAlign w:val="center"/>
          </w:tcPr>
          <w:p w14:paraId="015424D4" w14:textId="6594180C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14158779" w14:textId="18DEF594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</w:p>
        </w:tc>
        <w:tc>
          <w:tcPr>
            <w:tcW w:w="2249" w:type="dxa"/>
            <w:shd w:val="clear" w:color="auto" w:fill="FEB4F0"/>
            <w:vAlign w:val="center"/>
          </w:tcPr>
          <w:p w14:paraId="18FAF81D" w14:textId="4B929388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definiran</w:t>
            </w:r>
            <w:proofErr w:type="spellEnd"/>
          </w:p>
        </w:tc>
      </w:tr>
      <w:tr w:rsidR="00A31E7F" w:rsidRPr="004F7E58" w14:paraId="09F1CE68" w14:textId="5AA97218" w:rsidTr="004F7E58">
        <w:tc>
          <w:tcPr>
            <w:tcW w:w="766" w:type="dxa"/>
            <w:vMerge/>
          </w:tcPr>
          <w:p w14:paraId="68F5A89F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352D42C" w14:textId="3849296A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A271DB" w14:textId="61EA3BA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IV.2.2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Dokumentovati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stanje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neizmirenih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obaveza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</w:p>
        </w:tc>
        <w:tc>
          <w:tcPr>
            <w:tcW w:w="1081" w:type="dxa"/>
            <w:vAlign w:val="center"/>
          </w:tcPr>
          <w:p w14:paraId="71F6982D" w14:textId="31BF67EF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EE0000"/>
            <w:vAlign w:val="center"/>
          </w:tcPr>
          <w:p w14:paraId="1C38EA57" w14:textId="79082B74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bilo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je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2024.)</w:t>
            </w:r>
          </w:p>
        </w:tc>
        <w:tc>
          <w:tcPr>
            <w:tcW w:w="2249" w:type="dxa"/>
            <w:shd w:val="clear" w:color="auto" w:fill="EE0000"/>
            <w:vAlign w:val="center"/>
          </w:tcPr>
          <w:p w14:paraId="4E82C5F9" w14:textId="2E0308A0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je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5A2E3E08" w14:textId="36EBAF3E" w:rsidTr="004F7E58">
        <w:trPr>
          <w:trHeight w:val="77"/>
        </w:trPr>
        <w:tc>
          <w:tcPr>
            <w:tcW w:w="766" w:type="dxa"/>
            <w:vMerge/>
          </w:tcPr>
          <w:p w14:paraId="1C88234E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DBF31AB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AE127CB" w14:textId="12CB60ED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IV.2.3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Pružiti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podršku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nižim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fonodvima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postojećim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sprječavanju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akumuliranja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novih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neizmirenih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obaveza</w:t>
            </w:r>
            <w:proofErr w:type="spellEnd"/>
          </w:p>
        </w:tc>
        <w:tc>
          <w:tcPr>
            <w:tcW w:w="1081" w:type="dxa"/>
            <w:vAlign w:val="center"/>
          </w:tcPr>
          <w:p w14:paraId="4AC052D7" w14:textId="644C55F7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EE0000"/>
            <w:vAlign w:val="center"/>
          </w:tcPr>
          <w:p w14:paraId="4F36CF81" w14:textId="1C1D5B9D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bilo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je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2024.)</w:t>
            </w:r>
          </w:p>
        </w:tc>
        <w:tc>
          <w:tcPr>
            <w:tcW w:w="2249" w:type="dxa"/>
            <w:shd w:val="clear" w:color="auto" w:fill="EE0000"/>
            <w:vAlign w:val="center"/>
          </w:tcPr>
          <w:p w14:paraId="04C37A0F" w14:textId="742DBC40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je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15ACE913" w14:textId="77777777" w:rsidTr="004F7E58">
        <w:tc>
          <w:tcPr>
            <w:tcW w:w="766" w:type="dxa"/>
            <w:vMerge/>
            <w:textDirection w:val="btLr"/>
          </w:tcPr>
          <w:p w14:paraId="7E89D5F2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8E19576" w14:textId="169DEA8E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gotovinom</w:t>
            </w:r>
            <w:proofErr w:type="spellEnd"/>
          </w:p>
        </w:tc>
        <w:tc>
          <w:tcPr>
            <w:tcW w:w="4111" w:type="dxa"/>
          </w:tcPr>
          <w:p w14:paraId="512F7CC0" w14:textId="1028A3D8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IV.3.1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Azuriranje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izrada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/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Izmjene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investiranju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1081" w:type="dxa"/>
            <w:vAlign w:val="center"/>
          </w:tcPr>
          <w:p w14:paraId="25D1A406" w14:textId="5871AC83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768E3E96" w14:textId="49C16443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4A03FA7A" w14:textId="7E921096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6C1E1C" w:rsidRPr="004F7E58" w14:paraId="11F4847D" w14:textId="77777777" w:rsidTr="004F7E58">
        <w:tc>
          <w:tcPr>
            <w:tcW w:w="766" w:type="dxa"/>
            <w:vMerge/>
            <w:textDirection w:val="btLr"/>
          </w:tcPr>
          <w:p w14:paraId="625C8D35" w14:textId="77777777" w:rsidR="006C1E1C" w:rsidRPr="004F7E58" w:rsidRDefault="006C1E1C" w:rsidP="006C1E1C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3A213E8" w14:textId="77777777" w:rsidR="006C1E1C" w:rsidRPr="004F7E58" w:rsidRDefault="006C1E1C" w:rsidP="006C1E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E2631A" w14:textId="27D5CEA9" w:rsidR="006C1E1C" w:rsidRPr="004F7E58" w:rsidRDefault="006C1E1C" w:rsidP="006C1E1C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IV.3.2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Usvojiti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implementirati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procedure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pripremanje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projekcija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gotovinskog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ORACLE</w:t>
            </w:r>
          </w:p>
        </w:tc>
        <w:tc>
          <w:tcPr>
            <w:tcW w:w="1081" w:type="dxa"/>
            <w:vAlign w:val="center"/>
          </w:tcPr>
          <w:p w14:paraId="4700C2A6" w14:textId="316C8AFA" w:rsidR="006C1E1C" w:rsidRPr="004F7E58" w:rsidRDefault="006C1E1C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vAlign w:val="center"/>
          </w:tcPr>
          <w:p w14:paraId="03382ADB" w14:textId="26649977" w:rsidR="006C1E1C" w:rsidRPr="004F7E58" w:rsidRDefault="006C1E1C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Aktivnost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zaustavljena</w:t>
            </w:r>
            <w:proofErr w:type="spellEnd"/>
          </w:p>
        </w:tc>
        <w:tc>
          <w:tcPr>
            <w:tcW w:w="2249" w:type="dxa"/>
            <w:vAlign w:val="center"/>
          </w:tcPr>
          <w:p w14:paraId="1CD0D127" w14:textId="0A448B33" w:rsidR="006C1E1C" w:rsidRPr="004F7E58" w:rsidRDefault="006C1E1C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briše</w:t>
            </w:r>
            <w:proofErr w:type="spellEnd"/>
          </w:p>
        </w:tc>
      </w:tr>
      <w:tr w:rsidR="00A31E7F" w:rsidRPr="004F7E58" w14:paraId="2C1CEDE5" w14:textId="77777777" w:rsidTr="004F7E58">
        <w:tc>
          <w:tcPr>
            <w:tcW w:w="766" w:type="dxa"/>
            <w:vMerge/>
            <w:textDirection w:val="btLr"/>
          </w:tcPr>
          <w:p w14:paraId="4EDD8CA1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468D56E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D0A7BD" w14:textId="39477AE9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IV.3.3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zaštite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sredstava</w:t>
            </w:r>
            <w:proofErr w:type="spellEnd"/>
          </w:p>
        </w:tc>
        <w:tc>
          <w:tcPr>
            <w:tcW w:w="1081" w:type="dxa"/>
            <w:vAlign w:val="center"/>
          </w:tcPr>
          <w:p w14:paraId="33BFE224" w14:textId="4AC9111E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635348CE" w14:textId="04F464DC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0D1CFCDA" w14:textId="219F5A98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52A36E85" w14:textId="77777777" w:rsidTr="004F7E58">
        <w:tc>
          <w:tcPr>
            <w:tcW w:w="766" w:type="dxa"/>
            <w:vMerge/>
            <w:textDirection w:val="btLr"/>
          </w:tcPr>
          <w:p w14:paraId="48AD94AD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62D849E" w14:textId="2BBDA59A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IV.4.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dugom</w:t>
            </w:r>
            <w:proofErr w:type="spellEnd"/>
          </w:p>
        </w:tc>
        <w:tc>
          <w:tcPr>
            <w:tcW w:w="4111" w:type="dxa"/>
          </w:tcPr>
          <w:p w14:paraId="5B457E15" w14:textId="03F2ED32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IV.4.1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Implementirati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novi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IT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dugom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 BiH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razmotriti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njegovo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kantonalnim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vladama</w:t>
            </w:r>
            <w:proofErr w:type="spellEnd"/>
          </w:p>
        </w:tc>
        <w:tc>
          <w:tcPr>
            <w:tcW w:w="1081" w:type="dxa"/>
            <w:vAlign w:val="center"/>
          </w:tcPr>
          <w:p w14:paraId="1402DFEC" w14:textId="0A170497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4D55109D" w14:textId="1E305C00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536B337F" w14:textId="3CFABE6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10F3F654" w14:textId="77777777" w:rsidTr="004F7E58">
        <w:tc>
          <w:tcPr>
            <w:tcW w:w="766" w:type="dxa"/>
            <w:vMerge/>
            <w:textDirection w:val="btLr"/>
          </w:tcPr>
          <w:p w14:paraId="6A9B8233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ADED7C2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0829A3" w14:textId="2CE1F505" w:rsidR="00A31E7F" w:rsidRPr="004F7E58" w:rsidRDefault="00A31E7F" w:rsidP="00A31E7F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IV.4.2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Identificirati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implementirati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korake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neophodne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da se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osigura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izvještavanje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dugu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4F7E58">
              <w:rPr>
                <w:rFonts w:cstheme="minorHAnsi"/>
                <w:sz w:val="20"/>
                <w:szCs w:val="20"/>
                <w:lang w:val="fr-FR"/>
              </w:rPr>
              <w:t>sa</w:t>
            </w:r>
            <w:proofErr w:type="gram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ESA 2010</w:t>
            </w:r>
          </w:p>
        </w:tc>
        <w:tc>
          <w:tcPr>
            <w:tcW w:w="1081" w:type="dxa"/>
            <w:vAlign w:val="center"/>
          </w:tcPr>
          <w:p w14:paraId="0E3204F2" w14:textId="6ADA3F85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2FF46A45" w14:textId="40DBE070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4E9DA5F1" w14:textId="4C867077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176AEC65" w14:textId="77777777" w:rsidTr="004F7E58">
        <w:tc>
          <w:tcPr>
            <w:tcW w:w="766" w:type="dxa"/>
            <w:vMerge/>
            <w:textDirection w:val="btLr"/>
          </w:tcPr>
          <w:p w14:paraId="2DB3A1D3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5F53D8DE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EB3A5D9" w14:textId="79585DBF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IV.4.3 Druga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poboljšanja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procesa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dugom</w:t>
            </w:r>
            <w:proofErr w:type="spellEnd"/>
          </w:p>
        </w:tc>
        <w:tc>
          <w:tcPr>
            <w:tcW w:w="1081" w:type="dxa"/>
            <w:vAlign w:val="center"/>
          </w:tcPr>
          <w:p w14:paraId="3CEE5092" w14:textId="52F1C520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1D95C99B" w14:textId="55AA8A10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16640D9D" w14:textId="02CA92FC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74BE38BF" w14:textId="77777777" w:rsidTr="004F7E58">
        <w:tc>
          <w:tcPr>
            <w:tcW w:w="766" w:type="dxa"/>
            <w:vMerge/>
            <w:textDirection w:val="btLr"/>
          </w:tcPr>
          <w:p w14:paraId="32C7F4B5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C038325" w14:textId="53B08EDB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IV.5.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Računovodstvo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finansijsko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izvještavanje</w:t>
            </w:r>
            <w:proofErr w:type="spellEnd"/>
          </w:p>
        </w:tc>
        <w:tc>
          <w:tcPr>
            <w:tcW w:w="4111" w:type="dxa"/>
          </w:tcPr>
          <w:p w14:paraId="6DCAEF8A" w14:textId="08240D9D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IV.5.1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MRS JS u FBIH</w:t>
            </w:r>
          </w:p>
        </w:tc>
        <w:tc>
          <w:tcPr>
            <w:tcW w:w="1081" w:type="dxa"/>
            <w:vAlign w:val="center"/>
          </w:tcPr>
          <w:p w14:paraId="1D547DD1" w14:textId="22A4C67D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4D6B77FE" w14:textId="286FA33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E7268A" w14:textId="38313370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A31E7F" w:rsidRPr="004F7E58" w14:paraId="0C9B7A2A" w14:textId="77777777" w:rsidTr="004F7E58">
        <w:tc>
          <w:tcPr>
            <w:tcW w:w="766" w:type="dxa"/>
            <w:vMerge/>
            <w:textDirection w:val="btLr"/>
          </w:tcPr>
          <w:p w14:paraId="0F74E6C2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2C567A9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26874D" w14:textId="18A4847F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IV.5.2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Donijeti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uputstvo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načinu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vođenja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knjigovodstva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finansijskog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izvještavanja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godišnjeg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obračuna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razvojno-investicijske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projete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koji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realizuju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putem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posebnih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transakcijskih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namjenskih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računa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koji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nisu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JRR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>-a FBIH</w:t>
            </w:r>
          </w:p>
        </w:tc>
        <w:tc>
          <w:tcPr>
            <w:tcW w:w="1081" w:type="dxa"/>
            <w:vAlign w:val="center"/>
          </w:tcPr>
          <w:p w14:paraId="732164B2" w14:textId="7CDEEC75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vAlign w:val="center"/>
          </w:tcPr>
          <w:p w14:paraId="6320E4B1" w14:textId="1FF52AF5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noProof/>
                <w:sz w:val="20"/>
                <w:lang w:val="bs-Latn-BA"/>
              </w:rPr>
              <w:t>Aktivnost se briše</w:t>
            </w:r>
          </w:p>
        </w:tc>
        <w:tc>
          <w:tcPr>
            <w:tcW w:w="2249" w:type="dxa"/>
            <w:vAlign w:val="center"/>
          </w:tcPr>
          <w:p w14:paraId="7FF24705" w14:textId="5DD58BE2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31E7F" w:rsidRPr="004F7E58" w14:paraId="628FF4F8" w14:textId="77777777" w:rsidTr="004F7E58">
        <w:tc>
          <w:tcPr>
            <w:tcW w:w="766" w:type="dxa"/>
            <w:vMerge/>
            <w:textDirection w:val="btLr"/>
          </w:tcPr>
          <w:p w14:paraId="0DD96945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8A83C21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17A372" w14:textId="2BF20962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IV.5.2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Konsolidacija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sredstava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Jedinstevnom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računu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trezora</w:t>
            </w:r>
            <w:proofErr w:type="spellEnd"/>
          </w:p>
        </w:tc>
        <w:tc>
          <w:tcPr>
            <w:tcW w:w="1081" w:type="dxa"/>
            <w:vAlign w:val="center"/>
          </w:tcPr>
          <w:p w14:paraId="3AE5FDA5" w14:textId="49ECB704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24406362" w14:textId="738C531D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5531622B" w14:textId="695D80EF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A31E7F" w:rsidRPr="004F7E58" w14:paraId="38896617" w14:textId="77777777" w:rsidTr="004F7E58">
        <w:tc>
          <w:tcPr>
            <w:tcW w:w="766" w:type="dxa"/>
            <w:vMerge/>
            <w:textDirection w:val="btLr"/>
          </w:tcPr>
          <w:p w14:paraId="48544A40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4B14D05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E49582" w14:textId="2FE858A9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IV.5.3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Povećanje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transparentnosti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korištenja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sredstava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dobitnici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grantova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transfera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81" w:type="dxa"/>
            <w:vAlign w:val="center"/>
          </w:tcPr>
          <w:p w14:paraId="5C4843CA" w14:textId="043EDD9C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B5D72A0" w14:textId="7EE2AFB9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2B034C0D" w14:textId="727C7A0E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2CA5C4E5" w14:textId="77777777" w:rsidTr="004F7E58">
        <w:tc>
          <w:tcPr>
            <w:tcW w:w="766" w:type="dxa"/>
            <w:vMerge/>
            <w:textDirection w:val="btLr"/>
          </w:tcPr>
          <w:p w14:paraId="03221FF4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F3084B8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3605FB7" w14:textId="37CD59BD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IV.5.4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Informatizacija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kvartalnog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izvještavanja</w:t>
            </w:r>
            <w:proofErr w:type="spellEnd"/>
          </w:p>
        </w:tc>
        <w:tc>
          <w:tcPr>
            <w:tcW w:w="1081" w:type="dxa"/>
            <w:vAlign w:val="center"/>
          </w:tcPr>
          <w:p w14:paraId="7344A3ED" w14:textId="082D1B00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2B51C0FF" w14:textId="05006548" w:rsidR="00A31E7F" w:rsidRPr="004F7E58" w:rsidRDefault="00A31E7F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7A65C0E3" w14:textId="33A2FFE3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A31E7F" w:rsidRPr="004F7E58" w14:paraId="028516C3" w14:textId="77777777" w:rsidTr="004F7E58">
        <w:tc>
          <w:tcPr>
            <w:tcW w:w="766" w:type="dxa"/>
            <w:vMerge/>
            <w:textDirection w:val="btLr"/>
          </w:tcPr>
          <w:p w14:paraId="4CA9AE38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48D7CCD" w14:textId="35EFEE36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IV.6.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IT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trezora</w:t>
            </w:r>
            <w:proofErr w:type="spellEnd"/>
          </w:p>
        </w:tc>
        <w:tc>
          <w:tcPr>
            <w:tcW w:w="4111" w:type="dxa"/>
          </w:tcPr>
          <w:p w14:paraId="62F991DF" w14:textId="5B4F0011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IV.6.1 Dorada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trezora</w:t>
            </w:r>
            <w:proofErr w:type="spellEnd"/>
          </w:p>
        </w:tc>
        <w:tc>
          <w:tcPr>
            <w:tcW w:w="1081" w:type="dxa"/>
            <w:vAlign w:val="center"/>
          </w:tcPr>
          <w:p w14:paraId="1B5E0A34" w14:textId="1B5D7D8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1BA3FD7" w14:textId="2F5C2B37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00B050"/>
            <w:vAlign w:val="center"/>
          </w:tcPr>
          <w:p w14:paraId="612FD180" w14:textId="1DF71BCE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potpuno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A31E7F" w:rsidRPr="004F7E58" w14:paraId="4230EA10" w14:textId="77777777" w:rsidTr="004F7E58">
        <w:tc>
          <w:tcPr>
            <w:tcW w:w="766" w:type="dxa"/>
            <w:vMerge/>
            <w:textDirection w:val="btLr"/>
          </w:tcPr>
          <w:p w14:paraId="510974E5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2D64776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8064A4" w14:textId="09B44223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IV.6.2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Uspostaviti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mehanizam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kontinuirano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ažuriranje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trezorske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aplikacije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1081" w:type="dxa"/>
            <w:vAlign w:val="center"/>
          </w:tcPr>
          <w:p w14:paraId="55A1BB46" w14:textId="043C7FF9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389A4226" w14:textId="51BC5493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10E87DDB" w14:textId="4690B84B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67253CCF" w14:textId="6BB77CB7" w:rsidTr="004F7E58">
        <w:tc>
          <w:tcPr>
            <w:tcW w:w="766" w:type="dxa"/>
            <w:vMerge w:val="restart"/>
            <w:textDirection w:val="btLr"/>
            <w:vAlign w:val="center"/>
          </w:tcPr>
          <w:p w14:paraId="3B0E95AB" w14:textId="54EFC80A" w:rsidR="00A31E7F" w:rsidRPr="004F7E58" w:rsidRDefault="00A31E7F" w:rsidP="00A31E7F">
            <w:pPr>
              <w:ind w:left="113" w:right="113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V.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UNUTARNJA</w:t>
            </w:r>
            <w:proofErr w:type="spellEnd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KONTROLA</w:t>
            </w:r>
            <w:proofErr w:type="spellEnd"/>
          </w:p>
        </w:tc>
        <w:tc>
          <w:tcPr>
            <w:tcW w:w="3341" w:type="dxa"/>
          </w:tcPr>
          <w:p w14:paraId="39909604" w14:textId="23FFD8D0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upravljačke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odgovornosti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rizicima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ključnim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procesima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kroz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finansijskog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kontrole</w:t>
            </w:r>
            <w:proofErr w:type="spellEnd"/>
          </w:p>
        </w:tc>
        <w:tc>
          <w:tcPr>
            <w:tcW w:w="4111" w:type="dxa"/>
          </w:tcPr>
          <w:p w14:paraId="7AD7E992" w14:textId="1B14249B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V.1.1 Interne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kontrole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usmjerene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rizike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vezane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pouzdano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prihodima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rashodima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imovinom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obavezama</w:t>
            </w:r>
            <w:proofErr w:type="spellEnd"/>
          </w:p>
        </w:tc>
        <w:tc>
          <w:tcPr>
            <w:tcW w:w="1081" w:type="dxa"/>
            <w:vAlign w:val="center"/>
          </w:tcPr>
          <w:p w14:paraId="4828893D" w14:textId="330D080B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5625C519" w14:textId="48318942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7250E" w14:textId="26060D1F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28401A3B" w14:textId="77777777" w:rsidTr="004F7E58">
        <w:tc>
          <w:tcPr>
            <w:tcW w:w="766" w:type="dxa"/>
            <w:vMerge/>
            <w:textDirection w:val="btLr"/>
          </w:tcPr>
          <w:p w14:paraId="1B4B3C4C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05500D5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0DC152" w14:textId="63B76C0A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V.1.2 Interne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kontrole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usmjerene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rizike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srednjoročno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planiranje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programsko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budžetiranje</w:t>
            </w:r>
            <w:proofErr w:type="spellEnd"/>
          </w:p>
        </w:tc>
        <w:tc>
          <w:tcPr>
            <w:tcW w:w="1081" w:type="dxa"/>
            <w:vAlign w:val="center"/>
          </w:tcPr>
          <w:p w14:paraId="52BE4DBD" w14:textId="19EF755D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69B93B87" w14:textId="0D025FC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022D8B27" w14:textId="7893885E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31E7F" w:rsidRPr="004F7E58" w14:paraId="0689211A" w14:textId="77777777" w:rsidTr="004F7E58">
        <w:tc>
          <w:tcPr>
            <w:tcW w:w="766" w:type="dxa"/>
            <w:vMerge/>
            <w:textDirection w:val="btLr"/>
          </w:tcPr>
          <w:p w14:paraId="7CA50FED" w14:textId="77777777" w:rsidR="00A31E7F" w:rsidRPr="004F7E58" w:rsidRDefault="00A31E7F" w:rsidP="00A31E7F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360E713" w14:textId="77777777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78DC2C2" w14:textId="29B8BB20" w:rsidR="00A31E7F" w:rsidRPr="004F7E58" w:rsidRDefault="00A31E7F" w:rsidP="00A31E7F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V.1.3 Interne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kontrole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usmjerene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rizike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vezane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efikasnost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poslovnih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procesa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organizacija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sektora</w:t>
            </w:r>
            <w:proofErr w:type="spellEnd"/>
          </w:p>
        </w:tc>
        <w:tc>
          <w:tcPr>
            <w:tcW w:w="1081" w:type="dxa"/>
            <w:vAlign w:val="center"/>
          </w:tcPr>
          <w:p w14:paraId="347553CF" w14:textId="0542A42E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141D030B" w14:textId="333D5CBA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A847A" w14:textId="13514372" w:rsidR="00A31E7F" w:rsidRPr="004F7E58" w:rsidRDefault="00A31E7F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A0482D" w:rsidRPr="004F7E58" w14:paraId="355CC7ED" w14:textId="77777777" w:rsidTr="004F7E58">
        <w:tc>
          <w:tcPr>
            <w:tcW w:w="766" w:type="dxa"/>
            <w:vMerge/>
            <w:textDirection w:val="btLr"/>
          </w:tcPr>
          <w:p w14:paraId="2576448B" w14:textId="77777777" w:rsidR="00A0482D" w:rsidRPr="004F7E58" w:rsidRDefault="00A0482D" w:rsidP="00A0482D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5305AB1" w14:textId="77777777" w:rsidR="00A0482D" w:rsidRPr="004F7E58" w:rsidRDefault="00A0482D" w:rsidP="00A048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141C1A" w14:textId="5AEE7D4A" w:rsidR="00A0482D" w:rsidRPr="004F7E58" w:rsidRDefault="00A0482D" w:rsidP="00A0482D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V.1.4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Ojačavanje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upravljačke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odgovornost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ciljeve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rezultate</w:t>
            </w:r>
            <w:proofErr w:type="spellEnd"/>
          </w:p>
        </w:tc>
        <w:tc>
          <w:tcPr>
            <w:tcW w:w="1081" w:type="dxa"/>
            <w:vAlign w:val="center"/>
          </w:tcPr>
          <w:p w14:paraId="7D870F8C" w14:textId="056EEB4D" w:rsidR="00A0482D" w:rsidRPr="004F7E58" w:rsidRDefault="00A0482D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16C62AC" w14:textId="125F82E1" w:rsidR="00A0482D" w:rsidRPr="004F7E58" w:rsidRDefault="00A0482D" w:rsidP="00A0482D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lang w:val="bs-Latn-BA"/>
              </w:rPr>
              <w:t xml:space="preserve">Završena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6124137" w14:textId="4B914E59" w:rsidR="00A0482D" w:rsidRPr="004F7E58" w:rsidRDefault="00A0482D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A0482D" w:rsidRPr="004F7E58" w14:paraId="69B04EF2" w14:textId="77777777" w:rsidTr="004F7E58">
        <w:tc>
          <w:tcPr>
            <w:tcW w:w="766" w:type="dxa"/>
            <w:vMerge/>
            <w:textDirection w:val="btLr"/>
          </w:tcPr>
          <w:p w14:paraId="42AA3EDE" w14:textId="77777777" w:rsidR="00A0482D" w:rsidRPr="004F7E58" w:rsidRDefault="00A0482D" w:rsidP="00A0482D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83A991A" w14:textId="77777777" w:rsidR="00A0482D" w:rsidRPr="004F7E58" w:rsidRDefault="00A0482D" w:rsidP="00A0482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1034BE" w14:textId="5421E48D" w:rsidR="00A0482D" w:rsidRPr="004F7E58" w:rsidRDefault="00A0482D" w:rsidP="00A0482D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V.1.5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rizicima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preduzeća</w:t>
            </w:r>
            <w:proofErr w:type="spellEnd"/>
          </w:p>
        </w:tc>
        <w:tc>
          <w:tcPr>
            <w:tcW w:w="1081" w:type="dxa"/>
            <w:vAlign w:val="center"/>
          </w:tcPr>
          <w:p w14:paraId="57C41CA3" w14:textId="42FF0DFB" w:rsidR="00A0482D" w:rsidRPr="004F7E58" w:rsidRDefault="00A0482D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98B7B39" w14:textId="21E028D9" w:rsidR="00A0482D" w:rsidRPr="004F7E58" w:rsidRDefault="00A0482D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00B050"/>
            <w:vAlign w:val="center"/>
          </w:tcPr>
          <w:p w14:paraId="170303AA" w14:textId="2F951CE5" w:rsidR="00A0482D" w:rsidRPr="004F7E58" w:rsidRDefault="00A0482D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520633" w:rsidRPr="004F7E58" w14:paraId="17E3F46A" w14:textId="77777777" w:rsidTr="004F7E58">
        <w:tc>
          <w:tcPr>
            <w:tcW w:w="766" w:type="dxa"/>
            <w:vMerge/>
            <w:textDirection w:val="btLr"/>
          </w:tcPr>
          <w:p w14:paraId="13EDAE8C" w14:textId="77777777" w:rsidR="00520633" w:rsidRPr="004F7E58" w:rsidRDefault="00520633" w:rsidP="0052063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04DF486" w14:textId="2728C382" w:rsidR="00520633" w:rsidRPr="004F7E58" w:rsidRDefault="00520633" w:rsidP="0052063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Unaprijeđena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operativna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funkcija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interne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kojom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ostvaruje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dodatna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vrijednost</w:t>
            </w:r>
            <w:proofErr w:type="spellEnd"/>
          </w:p>
        </w:tc>
        <w:tc>
          <w:tcPr>
            <w:tcW w:w="4111" w:type="dxa"/>
          </w:tcPr>
          <w:p w14:paraId="69AA6CFA" w14:textId="3C576A4B" w:rsidR="00520633" w:rsidRPr="004F7E58" w:rsidRDefault="00520633" w:rsidP="005206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V.2.1 Interna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revizija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je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uspostavljena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sa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važećim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propisima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ispunjava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međunarodne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standarde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profesionalnu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praksu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interne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revizije</w:t>
            </w:r>
            <w:proofErr w:type="spellEnd"/>
          </w:p>
        </w:tc>
        <w:tc>
          <w:tcPr>
            <w:tcW w:w="1081" w:type="dxa"/>
            <w:vAlign w:val="center"/>
          </w:tcPr>
          <w:p w14:paraId="4A23AAC8" w14:textId="0C01CD04" w:rsidR="00520633" w:rsidRPr="004F7E58" w:rsidRDefault="0052063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555B8D14" w14:textId="0D0F02E1" w:rsidR="00520633" w:rsidRPr="004F7E58" w:rsidRDefault="0052063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4400A9D" w14:textId="155336F4" w:rsidR="00520633" w:rsidRPr="004F7E58" w:rsidRDefault="00520633" w:rsidP="0052063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520633" w:rsidRPr="004F7E58" w14:paraId="38BF25D8" w14:textId="77777777" w:rsidTr="004F7E58">
        <w:tc>
          <w:tcPr>
            <w:tcW w:w="766" w:type="dxa"/>
            <w:vMerge/>
            <w:textDirection w:val="btLr"/>
          </w:tcPr>
          <w:p w14:paraId="65B62B9F" w14:textId="77777777" w:rsidR="00520633" w:rsidRPr="004F7E58" w:rsidRDefault="00520633" w:rsidP="0052063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8B45465" w14:textId="77777777" w:rsidR="00520633" w:rsidRPr="004F7E58" w:rsidRDefault="00520633" w:rsidP="005206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916742B" w14:textId="464FB742" w:rsidR="00520633" w:rsidRPr="004F7E58" w:rsidRDefault="00520633" w:rsidP="0052063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V.2.2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Funkcija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interne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je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adekvatno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pozicionirana</w:t>
            </w:r>
            <w:proofErr w:type="spellEnd"/>
          </w:p>
        </w:tc>
        <w:tc>
          <w:tcPr>
            <w:tcW w:w="1081" w:type="dxa"/>
            <w:vAlign w:val="center"/>
          </w:tcPr>
          <w:p w14:paraId="4D73686B" w14:textId="2F327FAF" w:rsidR="00520633" w:rsidRPr="004F7E58" w:rsidRDefault="0052063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F799FB2" w14:textId="009AB9CB" w:rsidR="00520633" w:rsidRPr="004F7E58" w:rsidRDefault="0052063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57F04CCC" w14:textId="19172814" w:rsidR="00520633" w:rsidRPr="004F7E58" w:rsidRDefault="0052063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520633" w:rsidRPr="004F7E58" w14:paraId="6FA862F4" w14:textId="77777777" w:rsidTr="004F7E58">
        <w:tc>
          <w:tcPr>
            <w:tcW w:w="766" w:type="dxa"/>
            <w:vMerge/>
            <w:textDirection w:val="btLr"/>
          </w:tcPr>
          <w:p w14:paraId="5A4AA5DC" w14:textId="77777777" w:rsidR="00520633" w:rsidRPr="004F7E58" w:rsidRDefault="00520633" w:rsidP="0052063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CC9CCF3" w14:textId="77777777" w:rsidR="00520633" w:rsidRPr="004F7E58" w:rsidRDefault="00520633" w:rsidP="005206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C872EC" w14:textId="770CAD0B" w:rsidR="00520633" w:rsidRPr="004F7E58" w:rsidRDefault="00520633" w:rsidP="0052063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V.2.3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Kadrovski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kapaciteti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interne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su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ojačani</w:t>
            </w:r>
            <w:proofErr w:type="spellEnd"/>
          </w:p>
        </w:tc>
        <w:tc>
          <w:tcPr>
            <w:tcW w:w="1081" w:type="dxa"/>
            <w:vAlign w:val="center"/>
          </w:tcPr>
          <w:p w14:paraId="78EDB042" w14:textId="4FB1E259" w:rsidR="00520633" w:rsidRPr="004F7E58" w:rsidRDefault="0052063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518FBCBA" w14:textId="324D1E32" w:rsidR="00520633" w:rsidRPr="004F7E58" w:rsidRDefault="0052063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2480304" w14:textId="21490C88" w:rsidR="00520633" w:rsidRPr="004F7E58" w:rsidRDefault="00520633" w:rsidP="0052063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Rezultat mjere djelomično postignut</w:t>
            </w:r>
          </w:p>
        </w:tc>
      </w:tr>
      <w:tr w:rsidR="00FE5473" w:rsidRPr="004F7E58" w14:paraId="4ECAEEDB" w14:textId="77777777" w:rsidTr="004F7E58">
        <w:tc>
          <w:tcPr>
            <w:tcW w:w="766" w:type="dxa"/>
            <w:vMerge/>
            <w:textDirection w:val="btLr"/>
          </w:tcPr>
          <w:p w14:paraId="7577B6B9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CA9D218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9ED91FF" w14:textId="2FD94C64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V.2.4 Interna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je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usmjerena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pružanje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dodatne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vrijednosti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visokorizičnim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oblastima</w:t>
            </w:r>
            <w:proofErr w:type="spellEnd"/>
          </w:p>
        </w:tc>
        <w:tc>
          <w:tcPr>
            <w:tcW w:w="1081" w:type="dxa"/>
            <w:vAlign w:val="center"/>
          </w:tcPr>
          <w:p w14:paraId="5A06D514" w14:textId="66C5A06E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3293A41" w14:textId="1861C65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>Završena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6FACAF38" w14:textId="27A4300F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169DB9B9" w14:textId="77777777" w:rsidTr="004F7E58">
        <w:tc>
          <w:tcPr>
            <w:tcW w:w="766" w:type="dxa"/>
            <w:vMerge/>
            <w:textDirection w:val="btLr"/>
          </w:tcPr>
          <w:p w14:paraId="7353A7FF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B60C8F6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B0A71C9" w14:textId="3E5473D1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V.2.5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Harmonizovani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regulativa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prakse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interne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preduzećima</w:t>
            </w:r>
            <w:proofErr w:type="spellEnd"/>
          </w:p>
        </w:tc>
        <w:tc>
          <w:tcPr>
            <w:tcW w:w="1081" w:type="dxa"/>
            <w:vAlign w:val="center"/>
          </w:tcPr>
          <w:p w14:paraId="5ABC25ED" w14:textId="01AB2DD4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7F07E350" w14:textId="13C00578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6CA87BAE" w14:textId="4F3FEBA1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7168AA1A" w14:textId="77777777" w:rsidTr="004F7E58">
        <w:tc>
          <w:tcPr>
            <w:tcW w:w="766" w:type="dxa"/>
            <w:vMerge/>
            <w:textDirection w:val="btLr"/>
          </w:tcPr>
          <w:p w14:paraId="0ADA3B54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7122C534" w14:textId="4178B25F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praćenje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efektivnosti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PIFC</w:t>
            </w:r>
            <w:proofErr w:type="spellEnd"/>
          </w:p>
        </w:tc>
        <w:tc>
          <w:tcPr>
            <w:tcW w:w="4111" w:type="dxa"/>
          </w:tcPr>
          <w:p w14:paraId="5DF444DD" w14:textId="1776A7DF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V.3.1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Automatizacija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izvještavanja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PIFC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uz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proširene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izvore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alate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prikupljanje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podataka</w:t>
            </w:r>
            <w:proofErr w:type="spellEnd"/>
          </w:p>
        </w:tc>
        <w:tc>
          <w:tcPr>
            <w:tcW w:w="1081" w:type="dxa"/>
            <w:vAlign w:val="center"/>
          </w:tcPr>
          <w:p w14:paraId="7F02BE8E" w14:textId="40188660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00B050"/>
            <w:vAlign w:val="center"/>
          </w:tcPr>
          <w:p w14:paraId="2755397C" w14:textId="01FABE08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Završena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2023.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0B8B131B" w14:textId="367D58B8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00B3CB9D" w14:textId="77777777" w:rsidTr="004F7E58">
        <w:tc>
          <w:tcPr>
            <w:tcW w:w="766" w:type="dxa"/>
            <w:vMerge/>
            <w:textDirection w:val="btLr"/>
          </w:tcPr>
          <w:p w14:paraId="15C1BD0E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447E6D52" w14:textId="527835D6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34B536" w14:textId="68B62623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V.3.2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Razviti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implementirati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provjeru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kvalitete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FUK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interne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strane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CHJ</w:t>
            </w:r>
            <w:proofErr w:type="spellEnd"/>
          </w:p>
        </w:tc>
        <w:tc>
          <w:tcPr>
            <w:tcW w:w="1081" w:type="dxa"/>
            <w:vAlign w:val="center"/>
          </w:tcPr>
          <w:p w14:paraId="1E18AAF7" w14:textId="3D5F0E70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363911C" w14:textId="703A5E78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noProof/>
                <w:sz w:val="20"/>
                <w:szCs w:val="20"/>
                <w:lang w:val="bs-Latn-BA"/>
              </w:rPr>
              <w:t xml:space="preserve">U toku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0DC2AEAD" w14:textId="717FF36B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7D6CFC14" w14:textId="77777777" w:rsidTr="004F7E58">
        <w:tc>
          <w:tcPr>
            <w:tcW w:w="766" w:type="dxa"/>
            <w:vMerge/>
            <w:textDirection w:val="btLr"/>
          </w:tcPr>
          <w:p w14:paraId="35D29CD7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6BD7B853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DC72849" w14:textId="5748D76C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V.3.3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Ojačan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analitički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koordinacioni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CHJ</w:t>
            </w:r>
            <w:proofErr w:type="spellEnd"/>
          </w:p>
        </w:tc>
        <w:tc>
          <w:tcPr>
            <w:tcW w:w="1081" w:type="dxa"/>
            <w:vAlign w:val="center"/>
          </w:tcPr>
          <w:p w14:paraId="6C615428" w14:textId="20AEC10F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6CE661FD" w14:textId="1F624862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5D4A10A2" w14:textId="2065FB41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00CF7C69" w14:textId="77777777" w:rsidTr="004F7E58">
        <w:tc>
          <w:tcPr>
            <w:tcW w:w="766" w:type="dxa"/>
            <w:vMerge/>
            <w:textDirection w:val="btLr"/>
          </w:tcPr>
          <w:p w14:paraId="4CC186E6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3761144D" w14:textId="388A982F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V.4.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Unaprijediti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rad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inspekcije</w:t>
            </w:r>
            <w:proofErr w:type="spellEnd"/>
          </w:p>
        </w:tc>
        <w:tc>
          <w:tcPr>
            <w:tcW w:w="4111" w:type="dxa"/>
          </w:tcPr>
          <w:p w14:paraId="22549349" w14:textId="1E8E2358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V.4.1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inspekcije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FBIH</w:t>
            </w:r>
          </w:p>
        </w:tc>
        <w:tc>
          <w:tcPr>
            <w:tcW w:w="1081" w:type="dxa"/>
            <w:vAlign w:val="center"/>
          </w:tcPr>
          <w:p w14:paraId="21A30BAC" w14:textId="61D8A87B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07038926" w14:textId="7F3C72E9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2DB12B1B" w14:textId="097BA3A5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4F94A89F" w14:textId="77777777" w:rsidTr="004F7E58">
        <w:tc>
          <w:tcPr>
            <w:tcW w:w="766" w:type="dxa"/>
            <w:vMerge/>
            <w:textDirection w:val="btLr"/>
          </w:tcPr>
          <w:p w14:paraId="49DF458B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57BB406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B60B71" w14:textId="6C900B0C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V.4.2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Uspostava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inspekcija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kantonima</w:t>
            </w:r>
            <w:proofErr w:type="spellEnd"/>
          </w:p>
        </w:tc>
        <w:tc>
          <w:tcPr>
            <w:tcW w:w="1081" w:type="dxa"/>
            <w:vAlign w:val="center"/>
          </w:tcPr>
          <w:p w14:paraId="73E1CFE7" w14:textId="6C2EF123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38F1D9AA" w14:textId="3B80089F" w:rsidR="00FE5473" w:rsidRPr="004F7E58" w:rsidRDefault="00FE5473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31381544" w14:textId="1C8D9DE6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29BE8010" w14:textId="77777777" w:rsidTr="004F7E58">
        <w:tc>
          <w:tcPr>
            <w:tcW w:w="766" w:type="dxa"/>
            <w:vMerge/>
            <w:textDirection w:val="btLr"/>
          </w:tcPr>
          <w:p w14:paraId="4B2D01CA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8AA7FE5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FF9420A" w14:textId="6E52696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V.4.3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Usklađivanje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krivičnim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postupcima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ovlaštavanje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budžetske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inpekcije</w:t>
            </w:r>
            <w:proofErr w:type="spellEnd"/>
          </w:p>
        </w:tc>
        <w:tc>
          <w:tcPr>
            <w:tcW w:w="1081" w:type="dxa"/>
            <w:vAlign w:val="center"/>
          </w:tcPr>
          <w:p w14:paraId="78676F44" w14:textId="3128E9AB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NE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3248AA6" w14:textId="017E4EA9" w:rsidR="00FE5473" w:rsidRPr="004F7E58" w:rsidRDefault="00FE5473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započeta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ni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predviđeno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2024.)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1BE7E164" w14:textId="525C9401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FE5473" w:rsidRPr="004F7E58" w14:paraId="1205B94E" w14:textId="1FE1F707" w:rsidTr="004F7E58">
        <w:tc>
          <w:tcPr>
            <w:tcW w:w="766" w:type="dxa"/>
            <w:vMerge w:val="restart"/>
            <w:textDirection w:val="btLr"/>
            <w:vAlign w:val="center"/>
          </w:tcPr>
          <w:p w14:paraId="7199318D" w14:textId="57BD0BA7" w:rsidR="00FE5473" w:rsidRPr="004F7E58" w:rsidRDefault="00FE5473" w:rsidP="00FE5473">
            <w:pPr>
              <w:ind w:left="113" w:right="113"/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VI.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EKSTERNA</w:t>
            </w:r>
            <w:proofErr w:type="spellEnd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b/>
                <w:color w:val="C00000"/>
                <w:sz w:val="20"/>
                <w:szCs w:val="20"/>
              </w:rPr>
              <w:t>REVIZIJA</w:t>
            </w:r>
            <w:proofErr w:type="spellEnd"/>
          </w:p>
        </w:tc>
        <w:tc>
          <w:tcPr>
            <w:tcW w:w="3341" w:type="dxa"/>
            <w:vAlign w:val="center"/>
          </w:tcPr>
          <w:p w14:paraId="1D0EE61C" w14:textId="2BAD416C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VI.1.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Nezavisnost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mandat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organizaciju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Ureda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osigurati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ustavnim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zakonskim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poštivati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praksi</w:t>
            </w:r>
            <w:proofErr w:type="spellEnd"/>
          </w:p>
        </w:tc>
        <w:tc>
          <w:tcPr>
            <w:tcW w:w="4111" w:type="dxa"/>
          </w:tcPr>
          <w:p w14:paraId="5F9E8BA0" w14:textId="0909AB64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VI.1.1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Podizati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svijest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isticati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važnosti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uvrštavanja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Ureda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Ustav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FBiH</w:t>
            </w:r>
          </w:p>
        </w:tc>
        <w:tc>
          <w:tcPr>
            <w:tcW w:w="1081" w:type="dxa"/>
            <w:vAlign w:val="center"/>
          </w:tcPr>
          <w:p w14:paraId="605F4F97" w14:textId="0A1D3C95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437D4539" w14:textId="519453DF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37D56EBA" w14:textId="00D65895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FE5473" w:rsidRPr="004F7E58" w14:paraId="5475C6CA" w14:textId="77777777" w:rsidTr="004F7E58">
        <w:tc>
          <w:tcPr>
            <w:tcW w:w="766" w:type="dxa"/>
            <w:vMerge/>
            <w:textDirection w:val="btLr"/>
          </w:tcPr>
          <w:p w14:paraId="7BC8B1E1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5D5D0B9C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59337B6" w14:textId="5B99002F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VI.1.2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Nastaviti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strateškim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naporima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uvrštavanje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Ureda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Ustav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FBiH,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upućivanjem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inicijativa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Ustavnim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komisijama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Parlamenta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FBiH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Parlamentarnoj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komisiji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odgovornoj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</w:p>
        </w:tc>
        <w:tc>
          <w:tcPr>
            <w:tcW w:w="1081" w:type="dxa"/>
            <w:vAlign w:val="center"/>
          </w:tcPr>
          <w:p w14:paraId="0BCD2B5E" w14:textId="7E77F93C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59057E5A" w14:textId="57A4BB47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D2E4B" w14:textId="1EE703B3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Vidi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VI.</w:t>
            </w:r>
            <w:proofErr w:type="gramStart"/>
            <w:r w:rsidRPr="004F7E58">
              <w:rPr>
                <w:rFonts w:cstheme="minorHAnsi"/>
                <w:sz w:val="20"/>
                <w:szCs w:val="20"/>
              </w:rPr>
              <w:t>1.A</w:t>
            </w:r>
            <w:proofErr w:type="gramEnd"/>
          </w:p>
        </w:tc>
      </w:tr>
      <w:tr w:rsidR="00FE5473" w:rsidRPr="004F7E58" w14:paraId="4F1006B1" w14:textId="77777777" w:rsidTr="004F7E58">
        <w:tc>
          <w:tcPr>
            <w:tcW w:w="766" w:type="dxa"/>
            <w:vMerge/>
            <w:textDirection w:val="btLr"/>
          </w:tcPr>
          <w:p w14:paraId="137848DC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088FD666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20BC8F" w14:textId="43274074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VI.1.3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Poduzimati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aktivnosti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organima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izvršne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organima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isticanju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važnosti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održavanja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funkcionalne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operativne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finansijske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nezavisnosti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Ureda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dijelu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dosljedne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primjene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lex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specialis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081" w:type="dxa"/>
            <w:vAlign w:val="center"/>
          </w:tcPr>
          <w:p w14:paraId="2FEE6196" w14:textId="3D786BF9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672294B3" w14:textId="622899F4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34AF95BB" w14:textId="6EF01094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FE5473" w:rsidRPr="004F7E58" w14:paraId="2433196D" w14:textId="77777777" w:rsidTr="004F7E58">
        <w:trPr>
          <w:trHeight w:val="735"/>
        </w:trPr>
        <w:tc>
          <w:tcPr>
            <w:tcW w:w="766" w:type="dxa"/>
            <w:vMerge/>
            <w:textDirection w:val="btLr"/>
          </w:tcPr>
          <w:p w14:paraId="0953B494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  <w:vMerge w:val="restart"/>
          </w:tcPr>
          <w:p w14:paraId="6B433AF9" w14:textId="573EF98F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VI.2.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institucionalne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Ureda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kako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bi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osiguralo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lastRenderedPageBreak/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INTOSAI-jevim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profesionalnih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objava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veća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pokrivenost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subjekata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nadležnosti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111" w:type="dxa"/>
            <w:vMerge w:val="restart"/>
          </w:tcPr>
          <w:p w14:paraId="0D3A5EEB" w14:textId="53190566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lastRenderedPageBreak/>
              <w:t xml:space="preserve">VI.2.1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institucionalnih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Ureda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ljudskih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resursa</w:t>
            </w:r>
            <w:proofErr w:type="spellEnd"/>
          </w:p>
        </w:tc>
        <w:tc>
          <w:tcPr>
            <w:tcW w:w="1081" w:type="dxa"/>
            <w:vMerge w:val="restart"/>
            <w:vAlign w:val="center"/>
          </w:tcPr>
          <w:p w14:paraId="1358059C" w14:textId="2D3B6697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vMerge w:val="restart"/>
            <w:shd w:val="clear" w:color="auto" w:fill="FFE599" w:themeFill="accent4" w:themeFillTint="66"/>
            <w:vAlign w:val="center"/>
          </w:tcPr>
          <w:p w14:paraId="32DBF9E7" w14:textId="0683C240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FFE599" w:themeFill="accent4" w:themeFillTint="66"/>
            <w:vAlign w:val="center"/>
          </w:tcPr>
          <w:p w14:paraId="3C0EF0A7" w14:textId="4525FAA5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0710B4C1" w14:textId="77777777" w:rsidTr="004F7E58">
        <w:trPr>
          <w:trHeight w:val="735"/>
        </w:trPr>
        <w:tc>
          <w:tcPr>
            <w:tcW w:w="766" w:type="dxa"/>
            <w:vMerge/>
            <w:textDirection w:val="btLr"/>
          </w:tcPr>
          <w:p w14:paraId="59D46730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  <w:vMerge/>
          </w:tcPr>
          <w:p w14:paraId="448794B3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20605EF6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1" w:type="dxa"/>
            <w:vMerge/>
            <w:vAlign w:val="center"/>
          </w:tcPr>
          <w:p w14:paraId="2C27C53B" w14:textId="77777777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FFE599" w:themeFill="accent4" w:themeFillTint="66"/>
            <w:vAlign w:val="center"/>
          </w:tcPr>
          <w:p w14:paraId="0CC63550" w14:textId="77777777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F7FF7A" w14:textId="5A9F32F3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1E19C920" w14:textId="77777777" w:rsidTr="004F7E58">
        <w:tc>
          <w:tcPr>
            <w:tcW w:w="766" w:type="dxa"/>
            <w:vMerge/>
            <w:textDirection w:val="btLr"/>
          </w:tcPr>
          <w:p w14:paraId="0B8207EC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676A820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11CA0B9" w14:textId="780B6C4E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VI.2.2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institucionalnih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kapaciteta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Ureda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institucija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FBiH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informacionih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tehnologija</w:t>
            </w:r>
            <w:proofErr w:type="spellEnd"/>
          </w:p>
        </w:tc>
        <w:tc>
          <w:tcPr>
            <w:tcW w:w="1081" w:type="dxa"/>
            <w:vAlign w:val="center"/>
          </w:tcPr>
          <w:p w14:paraId="224ED5E4" w14:textId="7DC34221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457048E5" w14:textId="0086447C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A95473" w14:textId="0BFE7AF5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082AB11D" w14:textId="77777777" w:rsidTr="004F7E58">
        <w:tc>
          <w:tcPr>
            <w:tcW w:w="766" w:type="dxa"/>
            <w:vMerge/>
            <w:textDirection w:val="btLr"/>
          </w:tcPr>
          <w:p w14:paraId="35588AC5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20D0798A" w14:textId="6FD6F8DF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MJERA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: VI.3.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Primjena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INTOSAI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Okvira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profesionalnih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objava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s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ciljem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osiguranja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visokokvalitetnih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doprinose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poboljšanju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upravljanja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finansijama</w:t>
            </w:r>
            <w:proofErr w:type="spellEnd"/>
          </w:p>
        </w:tc>
        <w:tc>
          <w:tcPr>
            <w:tcW w:w="4111" w:type="dxa"/>
          </w:tcPr>
          <w:p w14:paraId="78D37207" w14:textId="4491EB00" w:rsidR="00FE5473" w:rsidRPr="004F7E58" w:rsidRDefault="00FE5473" w:rsidP="00FE547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VI.3.1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Usklađivanje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metodologije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sa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INTOSAI-</w:t>
            </w:r>
            <w:proofErr w:type="gramStart"/>
            <w:r w:rsidRPr="004F7E58">
              <w:rPr>
                <w:rFonts w:cstheme="minorHAnsi"/>
                <w:sz w:val="20"/>
                <w:szCs w:val="20"/>
                <w:lang w:val="fr-FR"/>
              </w:rPr>
              <w:t>jevim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Okvirom</w:t>
            </w:r>
            <w:proofErr w:type="spellEnd"/>
            <w:proofErr w:type="gram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profesionalnih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objava</w:t>
            </w:r>
            <w:proofErr w:type="spellEnd"/>
          </w:p>
        </w:tc>
        <w:tc>
          <w:tcPr>
            <w:tcW w:w="1081" w:type="dxa"/>
            <w:vAlign w:val="center"/>
          </w:tcPr>
          <w:p w14:paraId="62CA8102" w14:textId="4119F449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0DC41D58" w14:textId="22C6ED2B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shd w:val="clear" w:color="auto" w:fill="DBDBDB" w:themeFill="accent3" w:themeFillTint="66"/>
            <w:vAlign w:val="center"/>
          </w:tcPr>
          <w:p w14:paraId="37A676DC" w14:textId="30989CAD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FE5473" w:rsidRPr="004F7E58" w14:paraId="65385001" w14:textId="77777777" w:rsidTr="004F7E58">
        <w:tc>
          <w:tcPr>
            <w:tcW w:w="766" w:type="dxa"/>
            <w:vMerge/>
            <w:textDirection w:val="btLr"/>
          </w:tcPr>
          <w:p w14:paraId="1BE08E6D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0C4AD2A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433D542" w14:textId="076AB970" w:rsidR="00FE5473" w:rsidRPr="004F7E58" w:rsidRDefault="00FE5473" w:rsidP="00FE5473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VI.3.2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Provođenje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aktivnosti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kontrole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kvaliteta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kako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bi se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osiguralo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da se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provode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skladu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sa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INTOSAI-jevim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standardima</w:t>
            </w:r>
            <w:proofErr w:type="spellEnd"/>
          </w:p>
        </w:tc>
        <w:tc>
          <w:tcPr>
            <w:tcW w:w="1081" w:type="dxa"/>
            <w:vAlign w:val="center"/>
          </w:tcPr>
          <w:p w14:paraId="33893D3D" w14:textId="270F8A42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32FF1518" w14:textId="4AC267AE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D8FB94" w14:textId="679F8B0E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  <w:tr w:rsidR="00FE5473" w:rsidRPr="004F7E58" w14:paraId="66AD1F66" w14:textId="77777777" w:rsidTr="004F7E58">
        <w:tc>
          <w:tcPr>
            <w:tcW w:w="766" w:type="dxa"/>
            <w:vMerge/>
            <w:textDirection w:val="btLr"/>
          </w:tcPr>
          <w:p w14:paraId="7CD1FA5C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1E7E8B38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AF971E" w14:textId="481BC473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VI.3.3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Provođenje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sistemskog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praćenja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postupanja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po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datim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preporukama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revizorskim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izvještajima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s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ciljem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povećanja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odgovornosti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transparentnosti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učinkovitosti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javnom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sektoru</w:t>
            </w:r>
            <w:proofErr w:type="spellEnd"/>
          </w:p>
        </w:tc>
        <w:tc>
          <w:tcPr>
            <w:tcW w:w="1081" w:type="dxa"/>
            <w:vAlign w:val="center"/>
          </w:tcPr>
          <w:p w14:paraId="26454772" w14:textId="4FC8A0E9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4AD2A978" w14:textId="506803E5" w:rsidR="00FE5473" w:rsidRPr="004F7E58" w:rsidRDefault="00FE5473" w:rsidP="004F7E58">
            <w:pPr>
              <w:rPr>
                <w:rFonts w:cstheme="minorHAnsi"/>
                <w:sz w:val="20"/>
                <w:szCs w:val="20"/>
                <w:lang w:val="fr-FR"/>
              </w:rPr>
            </w:pPr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  <w:lang w:val="fr-FR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0EBC3E42" w14:textId="3CA6459A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Rok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realizaciju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još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istekao</w:t>
            </w:r>
            <w:proofErr w:type="spellEnd"/>
          </w:p>
        </w:tc>
      </w:tr>
      <w:tr w:rsidR="00FE5473" w:rsidRPr="004F7E58" w14:paraId="068563F5" w14:textId="77777777" w:rsidTr="004F7E58">
        <w:tc>
          <w:tcPr>
            <w:tcW w:w="766" w:type="dxa"/>
            <w:vMerge/>
            <w:textDirection w:val="btLr"/>
          </w:tcPr>
          <w:p w14:paraId="1FD1F3ED" w14:textId="77777777" w:rsidR="00FE5473" w:rsidRPr="004F7E58" w:rsidRDefault="00FE5473" w:rsidP="00FE5473">
            <w:pPr>
              <w:ind w:left="113" w:righ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41" w:type="dxa"/>
          </w:tcPr>
          <w:p w14:paraId="5487811F" w14:textId="77777777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D715AAD" w14:textId="2FE0963B" w:rsidR="00FE5473" w:rsidRPr="004F7E58" w:rsidRDefault="00FE5473" w:rsidP="00FE5473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VI.3.4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Jačanje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komunikacije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ključnim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akterima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što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subjekti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zakonodavna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tijela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svih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nivoa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vlasti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organi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za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provođnje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zakona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mediji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građani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kako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bi se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povećao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uticaj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revizije</w:t>
            </w:r>
            <w:proofErr w:type="spellEnd"/>
          </w:p>
        </w:tc>
        <w:tc>
          <w:tcPr>
            <w:tcW w:w="1081" w:type="dxa"/>
            <w:vAlign w:val="center"/>
          </w:tcPr>
          <w:p w14:paraId="30B08593" w14:textId="610BF39F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2520" w:type="dxa"/>
            <w:shd w:val="clear" w:color="auto" w:fill="FFE599" w:themeFill="accent4" w:themeFillTint="66"/>
            <w:vAlign w:val="center"/>
          </w:tcPr>
          <w:p w14:paraId="7F013370" w14:textId="5668E0A6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r w:rsidRPr="004F7E58">
              <w:rPr>
                <w:rFonts w:cstheme="minorHAnsi"/>
                <w:sz w:val="20"/>
                <w:szCs w:val="20"/>
              </w:rPr>
              <w:t xml:space="preserve">U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toku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1F4420" w14:textId="4819E945" w:rsidR="00FE5473" w:rsidRPr="004F7E58" w:rsidRDefault="00FE5473" w:rsidP="004F7E5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F7E58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mjere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djelomično</w:t>
            </w:r>
            <w:proofErr w:type="spellEnd"/>
            <w:r w:rsidRPr="004F7E5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F7E58">
              <w:rPr>
                <w:rFonts w:cstheme="minorHAnsi"/>
                <w:sz w:val="20"/>
                <w:szCs w:val="20"/>
              </w:rPr>
              <w:t>postignut</w:t>
            </w:r>
            <w:proofErr w:type="spellEnd"/>
          </w:p>
        </w:tc>
      </w:tr>
    </w:tbl>
    <w:p w14:paraId="60284663" w14:textId="4A870D74" w:rsidR="00EF5D05" w:rsidRPr="004F7E58" w:rsidRDefault="00EF5D05" w:rsidP="009C726D"/>
    <w:p w14:paraId="3A1BFC9F" w14:textId="5EB745AA" w:rsidR="00DF2E10" w:rsidRPr="004F7E58" w:rsidRDefault="00DF2E10" w:rsidP="009C726D"/>
    <w:p w14:paraId="37F865CC" w14:textId="477EBDD5" w:rsidR="00DF2E10" w:rsidRPr="004F7E58" w:rsidRDefault="00DF2E10" w:rsidP="009C726D"/>
    <w:p w14:paraId="64457483" w14:textId="2C87C65D" w:rsidR="002371EF" w:rsidRPr="004F7E58" w:rsidRDefault="002371EF">
      <w:r w:rsidRPr="004F7E58">
        <w:br w:type="page"/>
      </w:r>
    </w:p>
    <w:p w14:paraId="4DADCDF5" w14:textId="08777F87" w:rsidR="00DD1F1A" w:rsidRPr="004F7E58" w:rsidRDefault="00DD1F1A" w:rsidP="00DD1F1A">
      <w:pPr>
        <w:pStyle w:val="Heading1"/>
        <w:rPr>
          <w:b/>
          <w:color w:val="C00000"/>
        </w:rPr>
      </w:pPr>
      <w:bookmarkStart w:id="42" w:name="_Toc214450246"/>
      <w:proofErr w:type="spellStart"/>
      <w:r w:rsidRPr="004F7E58">
        <w:rPr>
          <w:b/>
          <w:color w:val="C00000"/>
        </w:rPr>
        <w:lastRenderedPageBreak/>
        <w:t>Prilog</w:t>
      </w:r>
      <w:proofErr w:type="spellEnd"/>
      <w:r w:rsidRPr="004F7E58">
        <w:rPr>
          <w:b/>
          <w:color w:val="C00000"/>
        </w:rPr>
        <w:t xml:space="preserve"> I</w:t>
      </w:r>
      <w:r w:rsidR="00353B22" w:rsidRPr="004F7E58">
        <w:rPr>
          <w:b/>
          <w:color w:val="C00000"/>
        </w:rPr>
        <w:t>I</w:t>
      </w:r>
      <w:r w:rsidRPr="004F7E58">
        <w:rPr>
          <w:b/>
          <w:color w:val="C00000"/>
        </w:rPr>
        <w:t>. A</w:t>
      </w:r>
      <w:r w:rsidRPr="004F7E58">
        <w:rPr>
          <w:b/>
          <w:color w:val="C00000"/>
          <w:lang w:val="bs-Latn-BA"/>
        </w:rPr>
        <w:t xml:space="preserve">žurirani akcioni </w:t>
      </w:r>
      <w:r w:rsidRPr="004F7E58">
        <w:rPr>
          <w:b/>
          <w:color w:val="C00000"/>
        </w:rPr>
        <w:t xml:space="preserve">plan / </w:t>
      </w:r>
      <w:proofErr w:type="spellStart"/>
      <w:r w:rsidRPr="004F7E58">
        <w:rPr>
          <w:b/>
          <w:color w:val="C00000"/>
        </w:rPr>
        <w:t>Godišnji</w:t>
      </w:r>
      <w:proofErr w:type="spellEnd"/>
      <w:r w:rsidRPr="004F7E58">
        <w:rPr>
          <w:b/>
          <w:color w:val="C00000"/>
        </w:rPr>
        <w:t xml:space="preserve"> </w:t>
      </w:r>
      <w:proofErr w:type="spellStart"/>
      <w:r w:rsidRPr="004F7E58">
        <w:rPr>
          <w:b/>
          <w:color w:val="C00000"/>
        </w:rPr>
        <w:t>akcioni</w:t>
      </w:r>
      <w:proofErr w:type="spellEnd"/>
      <w:r w:rsidRPr="004F7E58">
        <w:rPr>
          <w:b/>
          <w:color w:val="C00000"/>
        </w:rPr>
        <w:t xml:space="preserve"> plan (GAP) </w:t>
      </w:r>
      <w:proofErr w:type="spellStart"/>
      <w:r w:rsidR="002371EF" w:rsidRPr="004F7E58">
        <w:rPr>
          <w:b/>
          <w:color w:val="C00000"/>
        </w:rPr>
        <w:t>sa</w:t>
      </w:r>
      <w:proofErr w:type="spellEnd"/>
      <w:r w:rsidRPr="004F7E58">
        <w:rPr>
          <w:b/>
          <w:color w:val="C00000"/>
        </w:rPr>
        <w:t xml:space="preserve"> </w:t>
      </w:r>
      <w:proofErr w:type="spellStart"/>
      <w:r w:rsidRPr="004F7E58">
        <w:rPr>
          <w:b/>
          <w:color w:val="C00000"/>
        </w:rPr>
        <w:t>logički</w:t>
      </w:r>
      <w:r w:rsidR="002371EF" w:rsidRPr="004F7E58">
        <w:rPr>
          <w:b/>
          <w:color w:val="C00000"/>
        </w:rPr>
        <w:t>m</w:t>
      </w:r>
      <w:proofErr w:type="spellEnd"/>
      <w:r w:rsidRPr="004F7E58">
        <w:rPr>
          <w:b/>
          <w:color w:val="C00000"/>
        </w:rPr>
        <w:t xml:space="preserve"> </w:t>
      </w:r>
      <w:proofErr w:type="spellStart"/>
      <w:r w:rsidRPr="004F7E58">
        <w:rPr>
          <w:b/>
          <w:color w:val="C00000"/>
        </w:rPr>
        <w:t>okvir</w:t>
      </w:r>
      <w:r w:rsidR="002371EF" w:rsidRPr="004F7E58">
        <w:rPr>
          <w:b/>
          <w:color w:val="C00000"/>
        </w:rPr>
        <w:t>om</w:t>
      </w:r>
      <w:proofErr w:type="spellEnd"/>
      <w:r w:rsidRPr="004F7E58">
        <w:rPr>
          <w:b/>
          <w:color w:val="C00000"/>
        </w:rPr>
        <w:t xml:space="preserve"> u </w:t>
      </w:r>
      <w:r w:rsidR="00AB331F" w:rsidRPr="004F7E58">
        <w:rPr>
          <w:b/>
          <w:color w:val="C00000"/>
        </w:rPr>
        <w:t>202</w:t>
      </w:r>
      <w:r w:rsidR="00FE5473" w:rsidRPr="004F7E58">
        <w:rPr>
          <w:b/>
          <w:color w:val="C00000"/>
        </w:rPr>
        <w:t>5</w:t>
      </w:r>
      <w:r w:rsidRPr="004F7E58">
        <w:rPr>
          <w:b/>
          <w:color w:val="C00000"/>
        </w:rPr>
        <w:t xml:space="preserve">. </w:t>
      </w:r>
      <w:proofErr w:type="spellStart"/>
      <w:r w:rsidRPr="004F7E58">
        <w:rPr>
          <w:b/>
          <w:color w:val="C00000"/>
        </w:rPr>
        <w:t>godin</w:t>
      </w:r>
      <w:r w:rsidR="008A6292" w:rsidRPr="004F7E58">
        <w:rPr>
          <w:b/>
          <w:color w:val="C00000"/>
        </w:rPr>
        <w:t>i</w:t>
      </w:r>
      <w:bookmarkEnd w:id="42"/>
      <w:proofErr w:type="spellEnd"/>
    </w:p>
    <w:p w14:paraId="30379743" w14:textId="77777777" w:rsidR="00353B22" w:rsidRPr="004F7E58" w:rsidRDefault="00353B22" w:rsidP="00353B22"/>
    <w:p w14:paraId="2FC5E64B" w14:textId="77777777" w:rsidR="007F2E2C" w:rsidRPr="004F7E58" w:rsidRDefault="007F2E2C" w:rsidP="007F2E2C"/>
    <w:tbl>
      <w:tblPr>
        <w:tblW w:w="13299" w:type="dxa"/>
        <w:tblInd w:w="93" w:type="dxa"/>
        <w:tblLook w:val="04A0" w:firstRow="1" w:lastRow="0" w:firstColumn="1" w:lastColumn="0" w:noHBand="0" w:noVBand="1"/>
      </w:tblPr>
      <w:tblGrid>
        <w:gridCol w:w="1020"/>
        <w:gridCol w:w="1760"/>
        <w:gridCol w:w="1729"/>
        <w:gridCol w:w="820"/>
        <w:gridCol w:w="672"/>
        <w:gridCol w:w="892"/>
        <w:gridCol w:w="803"/>
        <w:gridCol w:w="803"/>
        <w:gridCol w:w="712"/>
        <w:gridCol w:w="180"/>
        <w:gridCol w:w="840"/>
        <w:gridCol w:w="244"/>
        <w:gridCol w:w="559"/>
        <w:gridCol w:w="748"/>
        <w:gridCol w:w="1517"/>
      </w:tblGrid>
      <w:tr w:rsidR="007F2E2C" w:rsidRPr="004F7E58" w14:paraId="125F3C1E" w14:textId="77777777" w:rsidTr="007F2E2C">
        <w:trPr>
          <w:trHeight w:val="5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5EC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A41F" w14:textId="4D0ACA34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436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AAB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89D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DDC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67D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9EE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00C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B6D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738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F40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00000"/>
            <w:vAlign w:val="center"/>
            <w:hideMark/>
          </w:tcPr>
          <w:p w14:paraId="3ACAD52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br/>
              <w:t>stupa</w:t>
            </w:r>
          </w:p>
        </w:tc>
      </w:tr>
      <w:tr w:rsidR="007F2E2C" w:rsidRPr="004F7E58" w14:paraId="7C78092C" w14:textId="77777777" w:rsidTr="007F2E2C">
        <w:trPr>
          <w:trHeight w:val="525"/>
        </w:trPr>
        <w:tc>
          <w:tcPr>
            <w:tcW w:w="6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6A91F84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STUP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:  I.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FISKALNI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OKVIR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7CEFA50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109AA51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17BCD30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41F9762F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1A37C87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6912131B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7573F48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Budžet</w:t>
            </w:r>
            <w:proofErr w:type="spellEnd"/>
          </w:p>
        </w:tc>
      </w:tr>
      <w:tr w:rsidR="007F2E2C" w:rsidRPr="004F7E58" w14:paraId="15606712" w14:textId="77777777" w:rsidTr="007F2E2C">
        <w:trPr>
          <w:trHeight w:val="7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D73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stupa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0568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5C4702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podataka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verifikaciju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10673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54359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E94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Polazna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DD87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2021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D8A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23CB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2023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D4E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68F8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4AE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Indikator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strategiji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UJF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72C0E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Izvjestitelj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vrijednosti</w:t>
            </w:r>
            <w:proofErr w:type="spellEnd"/>
          </w:p>
        </w:tc>
      </w:tr>
      <w:tr w:rsidR="007F2E2C" w:rsidRPr="004F7E58" w14:paraId="5862973B" w14:textId="77777777" w:rsidTr="004F7E58">
        <w:trPr>
          <w:trHeight w:val="6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E5ED3A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I.A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Poboljšano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planiranje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prihoda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06E9F39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I.A.a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Smanjena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razlika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između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projekcije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izvršenja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5833173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Federalno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Ministarstvo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finansija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3B0D67C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0C5300E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7558B6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2020      2,7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7D2F70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35C330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31F02D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7BDB84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452FCB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99FF"/>
            <w:vAlign w:val="center"/>
            <w:hideMark/>
          </w:tcPr>
          <w:p w14:paraId="6EB4F30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EDC66D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Prihodi</w:t>
            </w:r>
            <w:proofErr w:type="spellEnd"/>
          </w:p>
        </w:tc>
      </w:tr>
      <w:tr w:rsidR="007F2E2C" w:rsidRPr="004F7E58" w14:paraId="4C981A4A" w14:textId="77777777" w:rsidTr="004F7E5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FF" w:fill="DDEBF7"/>
            <w:hideMark/>
          </w:tcPr>
          <w:p w14:paraId="59508AB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I.B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Usvajaju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ili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poboljšavaju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fiskalna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pravila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DEBF7"/>
            <w:hideMark/>
          </w:tcPr>
          <w:p w14:paraId="01E5CDD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I.B.a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Nivo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duga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prelazi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utvrđene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granice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6815AE2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Izvještaji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dugu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godišnji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kvartalni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22C614B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4156A1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494351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4C4D44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dug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prelazi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60%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GDP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E10480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dug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prelazi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60%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GDP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1A778F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dug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prelazi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60%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GDP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0D8D92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dug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prelazi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60%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GDP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2A0F67D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dug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prelazi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60%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GDP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C0F5F3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4C3F4E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Dug</w:t>
            </w:r>
          </w:p>
        </w:tc>
      </w:tr>
    </w:tbl>
    <w:p w14:paraId="07A4A6C9" w14:textId="77777777" w:rsidR="00D8509B" w:rsidRPr="004F7E58" w:rsidRDefault="00D8509B" w:rsidP="007F2E2C"/>
    <w:tbl>
      <w:tblPr>
        <w:tblW w:w="14033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050"/>
        <w:gridCol w:w="1710"/>
        <w:gridCol w:w="810"/>
        <w:gridCol w:w="900"/>
        <w:gridCol w:w="810"/>
        <w:gridCol w:w="1170"/>
        <w:gridCol w:w="1260"/>
        <w:gridCol w:w="1937"/>
        <w:gridCol w:w="946"/>
      </w:tblGrid>
      <w:tr w:rsidR="007F2E2C" w:rsidRPr="004F7E58" w14:paraId="38AA382D" w14:textId="77777777" w:rsidTr="00ED3D2A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73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6F58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7691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B7277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71DC1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2B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2E133A0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A7036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B4C5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D1E2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1A74F521" w14:textId="77777777" w:rsidTr="00ED3D2A">
        <w:trPr>
          <w:trHeight w:val="255"/>
        </w:trPr>
        <w:tc>
          <w:tcPr>
            <w:tcW w:w="8720" w:type="dxa"/>
            <w:gridSpan w:val="6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539DBC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I.1. 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Formuliranje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usvajanje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primjena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fiskalnih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pravila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47B2564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Dug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1FA5107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7F2E2C" w:rsidRPr="004F7E58" w14:paraId="50CE617C" w14:textId="77777777" w:rsidTr="00ED3D2A">
        <w:trPr>
          <w:trHeight w:val="555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13ECB54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  <w:hideMark/>
          </w:tcPr>
          <w:p w14:paraId="7AF41B4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  <w:hideMark/>
          </w:tcPr>
          <w:p w14:paraId="01C801A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F47C2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4B89C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  <w:hideMark/>
          </w:tcPr>
          <w:p w14:paraId="62F1B59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  <w:hideMark/>
          </w:tcPr>
          <w:p w14:paraId="6DD140E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0FB36A8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  <w:hideMark/>
          </w:tcPr>
          <w:p w14:paraId="7109C47B" w14:textId="768FBF11" w:rsidR="007F2E2C" w:rsidRPr="004F7E58" w:rsidRDefault="007F2E2C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r w:rsidR="000B0061"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202</w:t>
            </w:r>
            <w:r w:rsidR="00E14236"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4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&lt;&gt;</w:t>
            </w:r>
            <w:r w:rsidR="000B0061"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202</w:t>
            </w:r>
            <w:r w:rsidR="00E14236"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1EC398EC" w14:textId="0B1EDF29" w:rsidR="007F2E2C" w:rsidRPr="004F7E58" w:rsidRDefault="007F2E2C" w:rsidP="000B00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 xml:space="preserve">u </w:t>
            </w:r>
            <w:r w:rsidR="000B0061"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202</w:t>
            </w:r>
            <w:r w:rsidR="00E14236"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5</w:t>
            </w:r>
          </w:p>
        </w:tc>
      </w:tr>
      <w:tr w:rsidR="007F2E2C" w:rsidRPr="004F7E58" w14:paraId="4A8FF162" w14:textId="77777777" w:rsidTr="00D34C43">
        <w:trPr>
          <w:trHeight w:val="1380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187EC46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5240EAD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I.1.1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Primjena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novih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fiskalnih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pravila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zaduživanju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garancijama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subjekte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sektora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1F7E5B5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I.1.A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dug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prelazi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ograničenje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ni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jedan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nivo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vlasti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83615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A11A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C5409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644AB3E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20E535E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  <w:hideMark/>
          </w:tcPr>
          <w:p w14:paraId="14510515" w14:textId="05D6DD6F" w:rsidR="007F2E2C" w:rsidRPr="004F7E58" w:rsidRDefault="00513C63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Radi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novom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prijedlogu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dugu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zaduživanju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garancijama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, da bi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integrisali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efekti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uvođenja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definicije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opšte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vlade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033CB247" w14:textId="6331020C" w:rsidR="007F2E2C" w:rsidRPr="004F7E58" w:rsidRDefault="00D34C43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37CEB2A9" w14:textId="77777777" w:rsidTr="00ED3D2A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212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0E33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A374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4C6BD3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75693F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75D9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4E7B8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E554F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462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054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49B39754" w14:textId="77777777" w:rsidTr="00ED3D2A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8E20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56E0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95A061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09917D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15081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6D9EA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E52969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0CF9E6" w14:textId="33C6A3A4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80A670" w14:textId="77777777" w:rsidR="00714A06" w:rsidRPr="004F7E58" w:rsidRDefault="00714A06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6C768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F3D7D8" w14:textId="4BDBC379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C673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016CF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E4FD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EA1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8E359" w14:textId="006A9F6B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69E4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040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116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41B96B11" w14:textId="77777777" w:rsidTr="00ED3D2A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160B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7EED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83C92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C9162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64353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AE87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4B94AA0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C442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F9C6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00E8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68B4EA47" w14:textId="77777777" w:rsidTr="00ED3D2A">
        <w:trPr>
          <w:trHeight w:val="255"/>
        </w:trPr>
        <w:tc>
          <w:tcPr>
            <w:tcW w:w="8720" w:type="dxa"/>
            <w:gridSpan w:val="6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14D3CE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I.2. 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projekcije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rashoda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pripremu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DOB-a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FBiH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B270A1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Prihodi</w:t>
            </w:r>
            <w:proofErr w:type="spellEnd"/>
          </w:p>
        </w:tc>
        <w:tc>
          <w:tcPr>
            <w:tcW w:w="4143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3BB04D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88410B" w:rsidRPr="004F7E58" w14:paraId="34CDB4CD" w14:textId="77777777" w:rsidTr="00ED3D2A">
        <w:trPr>
          <w:trHeight w:val="55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7F8CA34B" w14:textId="77777777" w:rsidR="0088410B" w:rsidRPr="004F7E58" w:rsidRDefault="0088410B" w:rsidP="0088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51617DF7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242A412D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0" w:type="dxa"/>
            <w:noWrap/>
            <w:vAlign w:val="center"/>
            <w:hideMark/>
          </w:tcPr>
          <w:p w14:paraId="04132A07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00" w:type="dxa"/>
            <w:noWrap/>
            <w:vAlign w:val="center"/>
            <w:hideMark/>
          </w:tcPr>
          <w:p w14:paraId="6E3FF760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vAlign w:val="center"/>
            <w:hideMark/>
          </w:tcPr>
          <w:p w14:paraId="27021DDB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17401754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10CBB0E8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  <w:hideMark/>
          </w:tcPr>
          <w:p w14:paraId="714E8161" w14:textId="056ADFF1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6BC662EB" w14:textId="7D9E489F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ED3D2A" w:rsidRPr="004F7E58" w14:paraId="54E44241" w14:textId="77777777" w:rsidTr="00D34C43">
        <w:trPr>
          <w:trHeight w:val="138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2F21B743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3B804002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I.2.2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Unaprijeđenje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koordinacije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odgovornosti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između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pripremi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projekcija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prihoda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42246F2F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I.2.B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Smanjena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razlika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između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projekcije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izvršenja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0ACA2B7B" w14:textId="6CFECC25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08F2B327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61CF8BC0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72312182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61DF737B" w14:textId="435A7A03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937" w:type="dxa"/>
            <w:vAlign w:val="center"/>
          </w:tcPr>
          <w:p w14:paraId="545E2E3E" w14:textId="5388CBC7" w:rsidR="00ED3D2A" w:rsidRPr="004F7E58" w:rsidRDefault="00735AD7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vAlign w:val="center"/>
            <w:hideMark/>
          </w:tcPr>
          <w:p w14:paraId="3C20E454" w14:textId="5F71C29C" w:rsidR="00ED3D2A" w:rsidRPr="004F7E58" w:rsidRDefault="00E14236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D3D2A" w:rsidRPr="004F7E58" w14:paraId="124FE09F" w14:textId="77777777" w:rsidTr="00D34C43">
        <w:trPr>
          <w:trHeight w:val="93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53CEAC5A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3AB6D263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I.2.3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Unaprijeđenje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inputa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izradu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projekcije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prihoda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12B1E3B4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I.2.C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Javno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dostupni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podaci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/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inputi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D792BA9" w14:textId="70320364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F75EB5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3C8CBFDF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7EA9A0CE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4C8AF406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09C06752" w14:textId="6A307DAB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AB1105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AB1105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937" w:type="dxa"/>
            <w:vAlign w:val="center"/>
          </w:tcPr>
          <w:p w14:paraId="35485FCD" w14:textId="7116B65B" w:rsidR="00ED3D2A" w:rsidRPr="004F7E58" w:rsidRDefault="00F75EB5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.</w:t>
            </w:r>
          </w:p>
        </w:tc>
        <w:tc>
          <w:tcPr>
            <w:tcW w:w="946" w:type="dxa"/>
            <w:vAlign w:val="center"/>
            <w:hideMark/>
          </w:tcPr>
          <w:p w14:paraId="348FF8FD" w14:textId="1C756148" w:rsidR="00ED3D2A" w:rsidRPr="004F7E58" w:rsidRDefault="00E14236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D3D2A" w:rsidRPr="004F7E58" w14:paraId="019C6A78" w14:textId="77777777" w:rsidTr="00D34C43">
        <w:trPr>
          <w:trHeight w:val="1020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1D68FE05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5FE5B984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I.2.4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elektronskog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praćenja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izvršenja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projekcija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prihoda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0B0AE389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I.2.D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Elektronski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izvještaji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dostupni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mjesečnom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osnovu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C7A56F" w14:textId="4071015D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F75EB5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2262AC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04809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2E485C4F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290A10C7" w14:textId="6D95E2C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AB1105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AB1105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232601D" w14:textId="1902E3D9" w:rsidR="00ED3D2A" w:rsidRPr="004F7E58" w:rsidRDefault="00F75EB5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2024.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.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619DE664" w14:textId="29CC01A6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D3D2A" w:rsidRPr="004F7E58" w14:paraId="5E095153" w14:textId="77777777" w:rsidTr="00ED3D2A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D236E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528C0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9215E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3320843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173C895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2D897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69BF83D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88F1EC4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208A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3815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3D2A" w:rsidRPr="004F7E58" w14:paraId="09D681EE" w14:textId="77777777" w:rsidTr="00ED3D2A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B2DF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7E70F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0052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0368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A0C6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864D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5BACFE8E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E827A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4395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8CFD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3D2A" w:rsidRPr="004F7E58" w14:paraId="3C49AD3F" w14:textId="77777777" w:rsidTr="00ED3D2A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34DE6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01A25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C7A9A6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C42598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E2EBFE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45CD2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0FE9AD33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A626E4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EB67F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BEC6C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3D2A" w:rsidRPr="004F7E58" w14:paraId="3EF030BD" w14:textId="77777777" w:rsidTr="00ED3D2A">
        <w:trPr>
          <w:trHeight w:val="255"/>
        </w:trPr>
        <w:tc>
          <w:tcPr>
            <w:tcW w:w="8720" w:type="dxa"/>
            <w:gridSpan w:val="6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18824B2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I.3. 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Fiskalna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koordinacija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konsolidacija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izvještavanje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finansija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nižih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nivoa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EF4C690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5F724C91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88410B" w:rsidRPr="004F7E58" w14:paraId="11B3D999" w14:textId="77777777" w:rsidTr="00ED3D2A">
        <w:trPr>
          <w:trHeight w:val="55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1F8AA93D" w14:textId="77777777" w:rsidR="0088410B" w:rsidRPr="004F7E58" w:rsidRDefault="0088410B" w:rsidP="0088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258B5630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6D763EC9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0" w:type="dxa"/>
            <w:noWrap/>
            <w:vAlign w:val="center"/>
            <w:hideMark/>
          </w:tcPr>
          <w:p w14:paraId="6C538C91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00" w:type="dxa"/>
            <w:noWrap/>
            <w:vAlign w:val="center"/>
            <w:hideMark/>
          </w:tcPr>
          <w:p w14:paraId="5C449813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vAlign w:val="center"/>
            <w:hideMark/>
          </w:tcPr>
          <w:p w14:paraId="4E8B056A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465B9EA8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43E26321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  <w:hideMark/>
          </w:tcPr>
          <w:p w14:paraId="5F01C97F" w14:textId="2E30FA9E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629BE52D" w14:textId="245F815D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ED3D2A" w:rsidRPr="004F7E58" w14:paraId="1EBDC7C6" w14:textId="77777777" w:rsidTr="00ED3D2A">
        <w:trPr>
          <w:trHeight w:val="228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3BAF8BCA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5892899E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I.3.1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Ojačati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sekretarsku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tehničku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podršku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funkcioniranje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tijela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fiskalnu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koordinaciju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njegove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uloge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rješavanju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regulatornih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pitanja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politika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imaju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implikacije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različite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vlade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08B645F2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I.3.A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Funkcionalno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tijelo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fiskalnu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koordinaciju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3A61CB2" w14:textId="1B88AC39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26A7B2F4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0A890FC3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472E6C81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5B056156" w14:textId="379FF41E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937" w:type="dxa"/>
            <w:vAlign w:val="center"/>
          </w:tcPr>
          <w:p w14:paraId="7873FD3A" w14:textId="7466E1EE" w:rsidR="00ED3D2A" w:rsidRPr="004F7E58" w:rsidRDefault="00735AD7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vAlign w:val="center"/>
            <w:hideMark/>
          </w:tcPr>
          <w:p w14:paraId="14C683DF" w14:textId="0A156EFB" w:rsidR="00ED3D2A" w:rsidRPr="004F7E58" w:rsidRDefault="00E14236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D3D2A" w:rsidRPr="004F7E58" w14:paraId="162439F6" w14:textId="77777777" w:rsidTr="00ED3D2A">
        <w:trPr>
          <w:trHeight w:val="1380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1A5AE86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7C254256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I.3.2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Izmjena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fiskalnih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pravila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procesu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usvajanja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izvrsavanja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budzeta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njihova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implementacija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3C6EE098" w14:textId="77777777" w:rsidR="00ED3D2A" w:rsidRPr="004F7E58" w:rsidRDefault="00ED3D2A" w:rsidP="00ED3D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I.3.B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Novi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budžetski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kalendar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primjenjuje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AEABC" w14:textId="745D794D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FBD4A9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1A313B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42DF9C78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17828123" w14:textId="32F2DEA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4A0D184" w14:textId="09D8F140" w:rsidR="00ED3D2A" w:rsidRPr="004F7E58" w:rsidRDefault="00735AD7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28927877" w14:textId="3ACDB79E" w:rsidR="00ED3D2A" w:rsidRPr="004F7E58" w:rsidRDefault="0088410B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D3D2A" w:rsidRPr="004F7E58" w14:paraId="73F20F3E" w14:textId="77777777" w:rsidTr="00ED3D2A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045D9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4123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DB78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D758E4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37A1BE9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DA7DD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B6DAA8A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34677F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3440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4F2C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3D2A" w:rsidRPr="004F7E58" w14:paraId="1312BC81" w14:textId="77777777" w:rsidTr="00AB1105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A992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1D2F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5111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CD78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5BB2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931C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9D44BAC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EFA9" w14:textId="77777777" w:rsidR="00ED3D2A" w:rsidRPr="004F7E58" w:rsidRDefault="00ED3D2A" w:rsidP="00ED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E8A1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5836" w14:textId="77777777" w:rsidR="00ED3D2A" w:rsidRPr="004F7E58" w:rsidRDefault="00ED3D2A" w:rsidP="00ED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3B0846" w14:textId="6663B5CB" w:rsidR="007F2E2C" w:rsidRPr="004F7E58" w:rsidRDefault="007F2E2C" w:rsidP="007F2E2C"/>
    <w:tbl>
      <w:tblPr>
        <w:tblW w:w="13219" w:type="dxa"/>
        <w:tblInd w:w="101" w:type="dxa"/>
        <w:tblLook w:val="04A0" w:firstRow="1" w:lastRow="0" w:firstColumn="1" w:lastColumn="0" w:noHBand="0" w:noVBand="1"/>
      </w:tblPr>
      <w:tblGrid>
        <w:gridCol w:w="1020"/>
        <w:gridCol w:w="1760"/>
        <w:gridCol w:w="2067"/>
        <w:gridCol w:w="820"/>
        <w:gridCol w:w="326"/>
        <w:gridCol w:w="803"/>
        <w:gridCol w:w="892"/>
        <w:gridCol w:w="803"/>
        <w:gridCol w:w="803"/>
        <w:gridCol w:w="803"/>
        <w:gridCol w:w="803"/>
        <w:gridCol w:w="802"/>
        <w:gridCol w:w="1522"/>
      </w:tblGrid>
      <w:tr w:rsidR="007F2E2C" w:rsidRPr="004F7E58" w14:paraId="7C7C925B" w14:textId="77777777" w:rsidTr="00DC7F97">
        <w:trPr>
          <w:trHeight w:val="5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4B4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F70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598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806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541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4E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5EB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BCC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667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9FD7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5E2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9A1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00000"/>
            <w:vAlign w:val="center"/>
            <w:hideMark/>
          </w:tcPr>
          <w:p w14:paraId="5EEB1B2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br/>
              <w:t>stupa</w:t>
            </w:r>
          </w:p>
        </w:tc>
      </w:tr>
      <w:tr w:rsidR="007F2E2C" w:rsidRPr="004F7E58" w14:paraId="640A3964" w14:textId="77777777" w:rsidTr="00DC7F97">
        <w:trPr>
          <w:trHeight w:val="525"/>
        </w:trPr>
        <w:tc>
          <w:tcPr>
            <w:tcW w:w="6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207B74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STUP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:  II.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PRIHODI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0D0FE3C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35A15AB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0A215AF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3CABC30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24666CD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086B3B6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14D254C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Prihodi</w:t>
            </w:r>
            <w:proofErr w:type="spellEnd"/>
          </w:p>
        </w:tc>
      </w:tr>
      <w:tr w:rsidR="007F2E2C" w:rsidRPr="004F7E58" w14:paraId="00050C1C" w14:textId="77777777" w:rsidTr="00DC7F97">
        <w:trPr>
          <w:trHeight w:val="7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A3E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stupa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4579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62108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podataka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verifikaciju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21EE5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C1D99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9EF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Polazna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426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AC58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CBE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2023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254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C04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2025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64A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Indikator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strategiji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UJF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86DE2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Izvjestitelj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vrijednosti</w:t>
            </w:r>
            <w:proofErr w:type="spellEnd"/>
          </w:p>
        </w:tc>
      </w:tr>
      <w:tr w:rsidR="007F2E2C" w:rsidRPr="004F7E58" w14:paraId="677FA09A" w14:textId="77777777" w:rsidTr="004F7E58">
        <w:trPr>
          <w:trHeight w:val="6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5CAE398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II.A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prihoda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2E2DCF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II.A.a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Kretanje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prihoda</w:t>
            </w:r>
            <w:proofErr w:type="spell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744307E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Izračun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FMF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osnovu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izvještaja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korisnika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4A92260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63C95B3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3EBD3F2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7.199,8 mil. KM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7D2D4DE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7.276,8 mil. KM</w:t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  <w:t>1,07%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E13803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7.621,0 mil. KM</w:t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  <w:t>4,73%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D2ADFC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7.932,0 mil. KM</w:t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  <w:t>4,08%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0D6A8C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8.273,0 mil. KM</w:t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  <w:t>4,30%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616E1C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8.628,8 mil. KM</w:t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</w: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br/>
              <w:t>4,30%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99FF"/>
            <w:vAlign w:val="center"/>
            <w:hideMark/>
          </w:tcPr>
          <w:p w14:paraId="46E1055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197616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Prihodi</w:t>
            </w:r>
            <w:proofErr w:type="spellEnd"/>
          </w:p>
        </w:tc>
      </w:tr>
    </w:tbl>
    <w:p w14:paraId="26411009" w14:textId="77777777" w:rsidR="007F2E2C" w:rsidRPr="004F7E58" w:rsidRDefault="007F2E2C" w:rsidP="007F2E2C"/>
    <w:tbl>
      <w:tblPr>
        <w:tblW w:w="13963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050"/>
        <w:gridCol w:w="1710"/>
        <w:gridCol w:w="810"/>
        <w:gridCol w:w="900"/>
        <w:gridCol w:w="810"/>
        <w:gridCol w:w="1170"/>
        <w:gridCol w:w="1260"/>
        <w:gridCol w:w="1867"/>
        <w:gridCol w:w="946"/>
      </w:tblGrid>
      <w:tr w:rsidR="007F2E2C" w:rsidRPr="004F7E58" w14:paraId="3AF1DF12" w14:textId="77777777" w:rsidTr="0088410B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0E5D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4D2D6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D3EE9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75ABD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4F2B4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358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71DD99A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CD5A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CC81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63B6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230010AA" w14:textId="77777777" w:rsidTr="0088410B">
        <w:trPr>
          <w:trHeight w:val="25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C078AA8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II.1.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okvira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85F360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Prihodi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77A9ADF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</w:tcPr>
          <w:p w14:paraId="4384F3A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5E84AD7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88410B" w:rsidRPr="004F7E58" w14:paraId="6BBF87FA" w14:textId="77777777" w:rsidTr="0088410B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48C2073" w14:textId="77777777" w:rsidR="0088410B" w:rsidRPr="004F7E58" w:rsidRDefault="0088410B" w:rsidP="0088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1EC5BBB0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22BE1599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4F4D12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4C981D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37744BA8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03872B93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739F5B13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4375DC57" w14:textId="71274BC1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1B92D9F0" w14:textId="4D0548DB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F2E2C" w:rsidRPr="004F7E58" w14:paraId="38C913B0" w14:textId="77777777" w:rsidTr="0088410B">
        <w:trPr>
          <w:trHeight w:val="118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2DD0801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32CE354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II.1.1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Smanjenje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fiskalnog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opterećenja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rada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2BDF304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II.1.A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Uspostavljen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novi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pravičniji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oporezivanja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rada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C4CBA56" w14:textId="32CDD8FE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C4207A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1695503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7932C85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2C3D59B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48A7E20D" w14:textId="4CF81569" w:rsidR="007F2E2C" w:rsidRPr="004F7E58" w:rsidRDefault="007F2E2C" w:rsidP="00ED3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FC5511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="00ED3D2A"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FC5511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vAlign w:val="center"/>
            <w:hideMark/>
          </w:tcPr>
          <w:p w14:paraId="6B97F060" w14:textId="40569C7D" w:rsidR="007F2E2C" w:rsidRPr="004F7E58" w:rsidRDefault="00ED3D2A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FMF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pomjera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</w:t>
            </w:r>
            <w:r w:rsidR="00237ECB">
              <w:rPr>
                <w:rFonts w:ascii="Calibri" w:eastAsia="Times New Roman" w:hAnsi="Calibri" w:cs="Calibri"/>
                <w:sz w:val="14"/>
                <w:szCs w:val="14"/>
              </w:rPr>
              <w:t>5</w:t>
            </w: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>pošto</w:t>
            </w:r>
            <w:proofErr w:type="spellEnd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je nova </w:t>
            </w:r>
            <w:proofErr w:type="spellStart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>Vlada</w:t>
            </w:r>
            <w:proofErr w:type="spellEnd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FBIH </w:t>
            </w:r>
            <w:proofErr w:type="spellStart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>povukla</w:t>
            </w:r>
            <w:proofErr w:type="spellEnd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>oba</w:t>
            </w:r>
            <w:proofErr w:type="spellEnd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>Zakona</w:t>
            </w:r>
            <w:proofErr w:type="spellEnd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>iz</w:t>
            </w:r>
            <w:proofErr w:type="spellEnd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>Parlamentarne</w:t>
            </w:r>
            <w:proofErr w:type="spellEnd"/>
            <w:r w:rsidR="00C4207A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procedure</w:t>
            </w:r>
          </w:p>
        </w:tc>
        <w:tc>
          <w:tcPr>
            <w:tcW w:w="946" w:type="dxa"/>
            <w:vAlign w:val="center"/>
            <w:hideMark/>
          </w:tcPr>
          <w:p w14:paraId="3EED830B" w14:textId="3CD1492F" w:rsidR="007F2E2C" w:rsidRPr="004F7E58" w:rsidRDefault="00C45DD9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12243A60" w14:textId="77777777" w:rsidTr="0088410B">
        <w:trPr>
          <w:trHeight w:val="151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150526D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01B0197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II.1.2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Harmonizirati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propise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oporezivanju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posjedovanja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prometa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imovine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FBiH</w:t>
            </w:r>
          </w:p>
        </w:tc>
        <w:tc>
          <w:tcPr>
            <w:tcW w:w="1710" w:type="dxa"/>
            <w:shd w:val="clear" w:color="CCFFFF" w:fill="FFFFCC"/>
            <w:hideMark/>
          </w:tcPr>
          <w:p w14:paraId="5BCEB54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II.1.B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Uspostavljen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jedinstveni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oporezivanja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imovine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cijeloj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teritoriji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FBIH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40CB7EA" w14:textId="7603E8FB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</w:t>
            </w:r>
            <w:r w:rsidR="00531103" w:rsidRPr="004F7E58">
              <w:rPr>
                <w:rFonts w:ascii="Calibri" w:eastAsia="Times New Roman" w:hAnsi="Calibri" w:cs="Calibri"/>
                <w:sz w:val="12"/>
                <w:szCs w:val="12"/>
              </w:rPr>
              <w:t>1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.202</w:t>
            </w:r>
            <w:r w:rsidR="00531103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16F85E0F" w14:textId="1F79E2EE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531103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13D14F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2F59B4A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1F732BC1" w14:textId="4BCDE265" w:rsidR="007F2E2C" w:rsidRPr="004F7E58" w:rsidRDefault="00ED3D2A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</w:t>
            </w:r>
            <w:r w:rsidR="00FC5511" w:rsidRPr="004F7E58">
              <w:rPr>
                <w:rFonts w:ascii="Calibri" w:eastAsia="Times New Roman" w:hAnsi="Calibri" w:cs="Calibri"/>
                <w:sz w:val="12"/>
                <w:szCs w:val="12"/>
              </w:rPr>
              <w:t>23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FC5511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vAlign w:val="center"/>
            <w:hideMark/>
          </w:tcPr>
          <w:p w14:paraId="2062457C" w14:textId="4F266328" w:rsidR="007F2E2C" w:rsidRPr="004F7E58" w:rsidRDefault="00531103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Prednacrt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usvojen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pomjera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2025.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godinu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75106CA0" w14:textId="5C2A2761" w:rsidR="007F2E2C" w:rsidRPr="004F7E58" w:rsidRDefault="00531103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7F2E2C" w:rsidRPr="004F7E58" w14:paraId="643E7D8F" w14:textId="77777777" w:rsidTr="0088410B">
        <w:trPr>
          <w:trHeight w:val="217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12E03F48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3FE86ECB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II.1.3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Harmonizirati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igrama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sreću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međunarodnim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propisima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52EF401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II.1.C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Djelatnost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priređivanja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igara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sreću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nagradnih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igara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prilagođava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fiskalnim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pravilima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međunarodnim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propisima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F7A3368" w14:textId="31956159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0D50BF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4E12E516" w14:textId="27FE8510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531103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5EB61B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720FC84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6283F542" w14:textId="1AA40B2D" w:rsidR="007F2E2C" w:rsidRPr="004F7E58" w:rsidRDefault="00E165C0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0D50BF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0D50BF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vAlign w:val="center"/>
            <w:hideMark/>
          </w:tcPr>
          <w:p w14:paraId="7B64C34F" w14:textId="73BEE491" w:rsidR="007F2E2C" w:rsidRPr="004F7E58" w:rsidRDefault="000D50BF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rada na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godinu</w:t>
            </w:r>
            <w:proofErr w:type="spellEnd"/>
            <w:proofErr w:type="gramEnd"/>
          </w:p>
        </w:tc>
        <w:tc>
          <w:tcPr>
            <w:tcW w:w="946" w:type="dxa"/>
            <w:vAlign w:val="center"/>
            <w:hideMark/>
          </w:tcPr>
          <w:p w14:paraId="63A5A1D6" w14:textId="76D89182" w:rsidR="007F2E2C" w:rsidRPr="004F7E58" w:rsidRDefault="0088410B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165C0" w:rsidRPr="004F7E58" w14:paraId="5FAAA0B9" w14:textId="77777777" w:rsidTr="0088410B">
        <w:trPr>
          <w:trHeight w:val="102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4C63C997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2B397C40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II.1.4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Unaprijediti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propise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poreznoj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administraciji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57606749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II.1.D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Uspostavljena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efikasna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efektivna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Porezna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FBiH 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86732AA" w14:textId="077440FC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92212C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1A0F60C1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AFF7A0B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15F9DF1A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2DF09986" w14:textId="50023BE9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92212C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92212C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vAlign w:val="center"/>
            <w:hideMark/>
          </w:tcPr>
          <w:p w14:paraId="023E828C" w14:textId="205E6F22" w:rsidR="00E165C0" w:rsidRPr="004F7E58" w:rsidRDefault="0092212C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Analiza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nije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urađena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na 2025</w:t>
            </w:r>
          </w:p>
        </w:tc>
        <w:tc>
          <w:tcPr>
            <w:tcW w:w="946" w:type="dxa"/>
            <w:vAlign w:val="center"/>
            <w:hideMark/>
          </w:tcPr>
          <w:p w14:paraId="3322F8AC" w14:textId="5B168844" w:rsidR="00E165C0" w:rsidRPr="004F7E58" w:rsidRDefault="0088410B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0DC1E4FD" w14:textId="77777777" w:rsidTr="0088410B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51CD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145F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F6E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2B607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1FF5C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43FD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B0DFB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83181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156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E61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2173B044" w14:textId="77777777" w:rsidTr="0088410B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6F3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586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ABC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B4A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4FD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0D5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20FDC67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270C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938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503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17CDC7F4" w14:textId="77777777" w:rsidTr="0088410B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3DE97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215A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5941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BF09D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E8CAD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058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2871DB3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F38D0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6C47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B475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66574D15" w14:textId="77777777" w:rsidTr="0088410B">
        <w:trPr>
          <w:trHeight w:val="255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4C7C973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II.2.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harmonizacija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okvira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međunarodnom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pomoći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administrativnom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saradnjom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2C1B59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C60BD9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88410B" w:rsidRPr="004F7E58" w14:paraId="51470E51" w14:textId="77777777" w:rsidTr="0088410B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E35140B" w14:textId="77777777" w:rsidR="0088410B" w:rsidRPr="004F7E58" w:rsidRDefault="0088410B" w:rsidP="0088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154EB5AD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079C72DC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EF2091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C10875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476E49AB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6D0D04CD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277E2AF4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2E429D7F" w14:textId="1DC47959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4CA0D638" w14:textId="492BAEC0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F2E2C" w:rsidRPr="004F7E58" w14:paraId="5E199BD0" w14:textId="77777777" w:rsidTr="0088410B">
        <w:trPr>
          <w:trHeight w:val="168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2DFD097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5F605A5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II.2.1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Harmonizacija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akata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mjerama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Globalnog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foruma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OECD</w:t>
            </w:r>
          </w:p>
        </w:tc>
        <w:tc>
          <w:tcPr>
            <w:tcW w:w="1710" w:type="dxa"/>
            <w:shd w:val="clear" w:color="CCFFFF" w:fill="FFFFCC"/>
            <w:hideMark/>
          </w:tcPr>
          <w:p w14:paraId="0E75B19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II.2.A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Aktivnosti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harmonizaciji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okvira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mjerama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Globalnog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foruma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OECD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42AB15D" w14:textId="594DAF02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2211AC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04E32FE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1AB07E3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7FE6D5A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559F410E" w14:textId="24016432" w:rsidR="007F2E2C" w:rsidRPr="004F7E58" w:rsidRDefault="00E165C0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2211AC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2211AC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vAlign w:val="center"/>
            <w:hideMark/>
          </w:tcPr>
          <w:p w14:paraId="598FAAC0" w14:textId="402C4D5E" w:rsidR="007F2E2C" w:rsidRPr="004F7E58" w:rsidRDefault="00E165C0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Globalni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forum je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kasnio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Smjernicama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pa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nisu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započete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radnje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izradi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Akcionog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plana za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pomjera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za 202</w:t>
            </w:r>
            <w:r w:rsidR="002211AC" w:rsidRPr="004F7E58">
              <w:rPr>
                <w:rFonts w:ascii="Calibri" w:eastAsia="Times New Roman" w:hAnsi="Calibri" w:cs="Calibri"/>
                <w:sz w:val="14"/>
                <w:szCs w:val="14"/>
              </w:rPr>
              <w:t>4</w:t>
            </w: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),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njegovom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usvajanju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pomjera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za 2024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).</w:t>
            </w:r>
          </w:p>
        </w:tc>
        <w:tc>
          <w:tcPr>
            <w:tcW w:w="946" w:type="dxa"/>
            <w:vAlign w:val="center"/>
            <w:hideMark/>
          </w:tcPr>
          <w:p w14:paraId="77965A78" w14:textId="24240E9C" w:rsidR="007F2E2C" w:rsidRPr="004F7E58" w:rsidRDefault="00C45DD9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165C0" w:rsidRPr="004F7E58" w14:paraId="4B493908" w14:textId="77777777" w:rsidTr="0088410B">
        <w:trPr>
          <w:trHeight w:val="118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6ED2E4C2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2B9EEA0D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II.2.3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Harmonizacija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okvira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razvoj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digitalizacije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ekonomije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0A85CD11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II.2.C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Poslovne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procese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uskladiti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razvojem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digitalne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ekonomije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A18BE92" w14:textId="1606D54B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B956C1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3253C620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2E4805B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231D0EE2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2CD0B631" w14:textId="1030116C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  <w:hideMark/>
          </w:tcPr>
          <w:p w14:paraId="5DEA3138" w14:textId="7BD73F46" w:rsidR="00E165C0" w:rsidRPr="004F7E58" w:rsidRDefault="00B956C1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OECD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treću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prolongira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donošenje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međunarodne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konvencije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engl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MLC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), te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nije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mogla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ni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Akitvnost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pripadajuće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podaktivnosti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FMF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Strategiji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pomjeraju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na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godinu</w:t>
            </w:r>
            <w:proofErr w:type="spellEnd"/>
            <w:proofErr w:type="gramEnd"/>
          </w:p>
        </w:tc>
        <w:tc>
          <w:tcPr>
            <w:tcW w:w="946" w:type="dxa"/>
            <w:vAlign w:val="center"/>
            <w:hideMark/>
          </w:tcPr>
          <w:p w14:paraId="7C6F0CC1" w14:textId="04D20D7C" w:rsidR="00E165C0" w:rsidRPr="004F7E58" w:rsidRDefault="0088410B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E165C0" w:rsidRPr="004F7E58" w14:paraId="5BB228BB" w14:textId="77777777" w:rsidTr="0088410B">
        <w:trPr>
          <w:trHeight w:val="1185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31DB78E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36179FA6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II.2.4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Razmjena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informacija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drugim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poreznim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jurisdikcijama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43546DB5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II.2.D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uspostave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razmjene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podataka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digitalnim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načinom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1A0C2" w14:textId="303AA75B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</w:t>
            </w:r>
            <w:r w:rsidR="00B956C1" w:rsidRPr="004F7E58">
              <w:rPr>
                <w:rFonts w:ascii="Calibri" w:eastAsia="Times New Roman" w:hAnsi="Calibri" w:cs="Calibri"/>
                <w:sz w:val="12"/>
                <w:szCs w:val="12"/>
              </w:rPr>
              <w:t>1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.202</w:t>
            </w:r>
            <w:r w:rsidR="00B956C1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80EA72" w14:textId="387FF885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</w:t>
            </w:r>
            <w:r w:rsidR="00B956C1" w:rsidRPr="004F7E58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.202</w:t>
            </w:r>
            <w:r w:rsidR="00B956C1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F0B8D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705B0F0A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705CE545" w14:textId="6662A899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B956C1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B956C1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36D484F9" w14:textId="36E1D545" w:rsidR="00E165C0" w:rsidRPr="004F7E58" w:rsidRDefault="00B956C1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2023.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izrađen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Pravilnike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razmjeni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informacija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ugovorima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o 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izbjegavanju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dvostrukog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oporezivanja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očekuje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njegovo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usvajanje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2024.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Druge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podaktivnosti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koje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su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vezane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dalji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rade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pomjeraju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na </w:t>
            </w:r>
            <w:proofErr w:type="spellStart"/>
            <w:r w:rsidR="00960BF7"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na</w:t>
            </w:r>
            <w:proofErr w:type="spellEnd"/>
            <w:r w:rsidR="00960BF7"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2025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.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11FE1682" w14:textId="50B0FBC6" w:rsidR="00E165C0" w:rsidRPr="004F7E58" w:rsidRDefault="00B956C1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6033CFDC" w14:textId="77777777" w:rsidTr="0088410B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6DE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EDDC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475F33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3E8D0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87BCAE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C8F28F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8B073C" w14:textId="707E0B0C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7ACEEF" w14:textId="77777777" w:rsidR="00714A06" w:rsidRPr="004F7E58" w:rsidRDefault="00714A06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88D22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DEEDF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C63B4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29DFF" w14:textId="3CD189B3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4205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DFAA31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34FADC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99D6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A76B0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0C1CEC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625621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952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1A0A9D88" w14:textId="77777777" w:rsidTr="0088410B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0AD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540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C22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0BD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0E2C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355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7D2F981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B0D5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973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15E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4295117A" w14:textId="77777777" w:rsidTr="0088410B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A36F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C2D7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86EB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1B54F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9676D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250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1DEEC6C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D7BF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9963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55E0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31F98BCC" w14:textId="77777777" w:rsidTr="0088410B">
        <w:trPr>
          <w:trHeight w:val="255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6BCC547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:</w:t>
            </w:r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 xml:space="preserve"> II.3.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Suzbijanje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sive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ekonomije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18D1C06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41CE576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3FAEDA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C7C934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022A388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28C735B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D654AF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</w:tr>
      <w:tr w:rsidR="0088410B" w:rsidRPr="004F7E58" w14:paraId="23AD3E21" w14:textId="77777777" w:rsidTr="0088410B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4D74CF13" w14:textId="77777777" w:rsidR="0088410B" w:rsidRPr="004F7E58" w:rsidRDefault="0088410B" w:rsidP="0088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1538EE10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44118D57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681EEA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76EED1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1EB4B2DA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153E1064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090792D7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0298F2AA" w14:textId="08FA7CF0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40A20BD8" w14:textId="7BBBF773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E165C0" w:rsidRPr="004F7E58" w14:paraId="2A11DAC4" w14:textId="77777777" w:rsidTr="0088410B">
        <w:trPr>
          <w:trHeight w:val="217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48354E9B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40156940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II.3.1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Identificirati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uzroke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posljedice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ekonomije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10738708" w14:textId="77777777" w:rsidR="00E165C0" w:rsidRPr="004F7E58" w:rsidRDefault="00E165C0" w:rsidP="00E165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II.3.A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Akcioni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plan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borbu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sive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ekonomije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implementiran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/ II.3.B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koeficijenta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raspodjele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Jedinstvenog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računa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B0FFC06" w14:textId="37AB5E8E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A071E1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6F443BE8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7BB294C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522BFF62" w14:textId="77777777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7CF123F8" w14:textId="176D440A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  <w:hideMark/>
          </w:tcPr>
          <w:p w14:paraId="49FDEB56" w14:textId="01775F31" w:rsidR="00E165C0" w:rsidRPr="004F7E58" w:rsidRDefault="00E165C0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odgađa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do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daljnjeg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dok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ne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obezbijedi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tehnička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podrška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 </w:t>
            </w:r>
          </w:p>
        </w:tc>
        <w:tc>
          <w:tcPr>
            <w:tcW w:w="946" w:type="dxa"/>
            <w:vAlign w:val="center"/>
            <w:hideMark/>
          </w:tcPr>
          <w:p w14:paraId="2D3A2107" w14:textId="0C05FCAC" w:rsidR="00E165C0" w:rsidRPr="004F7E58" w:rsidRDefault="0088410B" w:rsidP="00E1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6F033BD3" w14:textId="77777777" w:rsidTr="0088410B">
        <w:trPr>
          <w:trHeight w:val="70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0A02672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193BDD6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II.3.2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Izraditi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model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izračuna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ekonomije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28A9353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III.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3.B</w:t>
            </w:r>
            <w:proofErr w:type="gram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7E6AA045" w14:textId="5FB2DC6E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A071E1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5B93607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31.03.2026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FE98B2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7D8B442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62C2A43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867" w:type="dxa"/>
            <w:vAlign w:val="center"/>
            <w:hideMark/>
          </w:tcPr>
          <w:p w14:paraId="60220122" w14:textId="1D471D7F" w:rsidR="007F2E2C" w:rsidRPr="004F7E58" w:rsidRDefault="00E165C0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13924F91" w14:textId="04A8F9EB" w:rsidR="007F2E2C" w:rsidRPr="004F7E58" w:rsidRDefault="0088410B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A071E1" w:rsidRPr="004F7E58" w14:paraId="1745C0E3" w14:textId="77777777" w:rsidTr="0088410B">
        <w:trPr>
          <w:trHeight w:val="70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6A1AF8CC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27C7A0B9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II.3.3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Efikasniji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nadzor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tokovima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ekonomije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306DA14A" w14:textId="7ED489CC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III.3.C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Kretanje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koeficijenta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raspodjele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od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indirektnih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poreza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Jedinstvenog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računa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78D163AE" w14:textId="2357A6A1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13E9F536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31.03.2026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1170DAC8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3185ED0B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79E39649" w14:textId="250DA9EA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</w:tcPr>
          <w:p w14:paraId="2B095FD0" w14:textId="7946E785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21AD7A9E" w14:textId="468EE562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A071E1" w:rsidRPr="004F7E58" w14:paraId="74F00F56" w14:textId="77777777" w:rsidTr="0088410B">
        <w:trPr>
          <w:trHeight w:val="151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6A0594DC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732CB84D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II.3.4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Edukacija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građana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značaju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fiskalnog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računa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15A74FE5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II.3.D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Veći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stepen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evidentiranog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prometa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priliva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sredstava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budžete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svih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nivoa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EB0C9A6" w14:textId="21BB231E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D669D8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6F34CDC1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7C646E5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6C9A9AAD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022CD6BD" w14:textId="56D9B750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D669D8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D669D8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vAlign w:val="center"/>
            <w:hideMark/>
          </w:tcPr>
          <w:p w14:paraId="0D36B5C1" w14:textId="70D1966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Dalje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ove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zavisi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zakonskih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rješenja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koja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usvoji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Parlament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</w:p>
        </w:tc>
        <w:tc>
          <w:tcPr>
            <w:tcW w:w="946" w:type="dxa"/>
            <w:vAlign w:val="center"/>
            <w:hideMark/>
          </w:tcPr>
          <w:p w14:paraId="06E75D39" w14:textId="093A43EF" w:rsidR="00A071E1" w:rsidRPr="004F7E58" w:rsidRDefault="00D669D8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A071E1" w:rsidRPr="004F7E58" w14:paraId="5226111F" w14:textId="77777777" w:rsidTr="0088410B">
        <w:trPr>
          <w:trHeight w:val="70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38895DAB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08DB2CA3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II.3.5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Unaprijediti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izvještavanje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MONEYVAL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5B4C0F94" w14:textId="644E8693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III.3.E FMF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kapacitiran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da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izvještava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zahtjevima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MONEYVAL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0FFE7A9C" w14:textId="3AB8BE84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D669D8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30B25DFB" w14:textId="0DF1776C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D669D8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5CC3F93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47AFB8A1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3B4AC43E" w14:textId="50717E9F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</w:tcPr>
          <w:p w14:paraId="3E574A80" w14:textId="4B713387" w:rsidR="00A071E1" w:rsidRPr="004F7E58" w:rsidRDefault="00D669D8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35D1F162" w14:textId="0385FF56" w:rsidR="00A071E1" w:rsidRPr="004F7E58" w:rsidRDefault="0088410B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A071E1" w:rsidRPr="004F7E58" w14:paraId="3060F707" w14:textId="77777777" w:rsidTr="0088410B">
        <w:trPr>
          <w:trHeight w:val="1605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196BA7E8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52153A5C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II.3.6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kadrovskih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Sektora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porezu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politiku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igara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sreću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Federalnog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ministarstva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finansija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136CB56A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II.3.F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kapacitet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Sektora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785CC1" w14:textId="4A8BFA0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7E150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8B2943" w14:textId="6FBE7D7F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7E150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ABE51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5823EE22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75737DD8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6AAFAC18" w14:textId="67F6CA96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706A12D2" w14:textId="3EEA6F4B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A071E1" w:rsidRPr="004F7E58" w14:paraId="616AD23C" w14:textId="77777777" w:rsidTr="0088410B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A163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8FE46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F9CD1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6BFF284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CC77DB4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E54BB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756AD1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8FA885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D2EE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BB6C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1E1" w:rsidRPr="004F7E58" w14:paraId="7B6180DB" w14:textId="77777777" w:rsidTr="0088410B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ACD8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23009" w14:textId="629F8CA6" w:rsidR="00F12895" w:rsidRPr="004F7E58" w:rsidRDefault="00F12895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397F2" w14:textId="77777777" w:rsidR="00714A06" w:rsidRPr="004F7E58" w:rsidRDefault="00714A06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6E82AA" w14:textId="77777777" w:rsidR="00F12895" w:rsidRPr="004F7E58" w:rsidRDefault="00F12895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6196B" w14:textId="77777777" w:rsidR="00F12895" w:rsidRPr="004F7E58" w:rsidRDefault="00F12895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1023E2" w14:textId="30978CEC" w:rsidR="00F12895" w:rsidRPr="004F7E58" w:rsidRDefault="00F12895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C1D3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75219" w14:textId="77777777" w:rsidR="00714A06" w:rsidRPr="004F7E58" w:rsidRDefault="00714A06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7AFF44" w14:textId="77777777" w:rsidR="00714A06" w:rsidRPr="004F7E58" w:rsidRDefault="00714A06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D7802" w14:textId="21755643" w:rsidR="00714A06" w:rsidRPr="004F7E58" w:rsidRDefault="00714A06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B593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A1DD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96D8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A42D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5CDB25AB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EA5C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B212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56E5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1E1" w:rsidRPr="004F7E58" w14:paraId="3EB90B27" w14:textId="77777777" w:rsidTr="0088410B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94086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D5555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F72FF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7B87AA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10553C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956C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554B13AB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E733F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7FAF3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3058E" w14:textId="77777777" w:rsidR="00A071E1" w:rsidRPr="004F7E58" w:rsidRDefault="00A071E1" w:rsidP="00A07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1E1" w:rsidRPr="004F7E58" w14:paraId="099E04A9" w14:textId="77777777" w:rsidTr="0088410B">
        <w:trPr>
          <w:trHeight w:val="255"/>
        </w:trPr>
        <w:tc>
          <w:tcPr>
            <w:tcW w:w="8720" w:type="dxa"/>
            <w:gridSpan w:val="6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5BEDA6AA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II.4.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Unaprijediti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poslovno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okruženje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uklanjanjem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administrativnih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barijera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471FBD3F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7ABEC89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88410B" w:rsidRPr="004F7E58" w14:paraId="0FE7EB14" w14:textId="77777777" w:rsidTr="0088410B">
        <w:trPr>
          <w:trHeight w:val="55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0E25866A" w14:textId="77777777" w:rsidR="0088410B" w:rsidRPr="004F7E58" w:rsidRDefault="0088410B" w:rsidP="00884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50A23AC4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7AB55C1F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0" w:type="dxa"/>
            <w:noWrap/>
            <w:vAlign w:val="center"/>
            <w:hideMark/>
          </w:tcPr>
          <w:p w14:paraId="1A9C192F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900" w:type="dxa"/>
            <w:noWrap/>
            <w:vAlign w:val="center"/>
            <w:hideMark/>
          </w:tcPr>
          <w:p w14:paraId="717EE6BB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vAlign w:val="center"/>
            <w:hideMark/>
          </w:tcPr>
          <w:p w14:paraId="2C6678CA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7234A3BD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687A7900" w14:textId="77777777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3D80F235" w14:textId="7F137FF9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16D8A2BD" w14:textId="12440601" w:rsidR="0088410B" w:rsidRPr="004F7E58" w:rsidRDefault="0088410B" w:rsidP="00884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A071E1" w:rsidRPr="004F7E58" w14:paraId="445181BB" w14:textId="77777777" w:rsidTr="0088410B">
        <w:trPr>
          <w:trHeight w:val="93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4F321D81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50A2C364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II.4.1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Unaprijediti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proces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dostavljanja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poreznih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prijava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elektronskom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obliku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0F2EB1E4" w14:textId="77777777" w:rsidR="00A071E1" w:rsidRPr="004F7E58" w:rsidRDefault="00A071E1" w:rsidP="00A071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III.4.A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Efikasno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poslovnim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procesima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0D6B3426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01.01.2022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64BC51BF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31.03.2024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798F237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3190FC0D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PU FBIH</w:t>
            </w:r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222250EC" w14:textId="77777777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867" w:type="dxa"/>
            <w:vAlign w:val="center"/>
            <w:hideMark/>
          </w:tcPr>
          <w:p w14:paraId="19872B2E" w14:textId="0C72E229" w:rsidR="00A071E1" w:rsidRPr="004F7E58" w:rsidRDefault="00A071E1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71903516" w14:textId="04D5CED6" w:rsidR="00A071E1" w:rsidRPr="004F7E58" w:rsidRDefault="00EB57DC" w:rsidP="00A071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92212C" w:rsidRPr="004F7E58" w14:paraId="47EC58C9" w14:textId="77777777" w:rsidTr="0088410B">
        <w:trPr>
          <w:trHeight w:val="151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05EABCC7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1958C99B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II.4.2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Unaprijediti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usluge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poreznim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obveznicima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strane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Porezne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FBiH</w:t>
            </w:r>
          </w:p>
        </w:tc>
        <w:tc>
          <w:tcPr>
            <w:tcW w:w="1710" w:type="dxa"/>
            <w:shd w:val="clear" w:color="CCFFFF" w:fill="FFFFCC"/>
            <w:hideMark/>
          </w:tcPr>
          <w:p w14:paraId="7E3AF255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III.4.B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Porezna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organizaciono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kadrovski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osposobljena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da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funkciji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građana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66F9B78" w14:textId="34CE8A7F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01.01.2023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72AC1658" w14:textId="541A0AC4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31.12.2024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EE2204F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53FE57BB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PU FBIH</w:t>
            </w:r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5F788363" w14:textId="5766B68A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</w:tcPr>
          <w:p w14:paraId="2D5560BB" w14:textId="2B2F47C6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125C4FA0" w14:textId="42856EBA" w:rsidR="0092212C" w:rsidRPr="004F7E58" w:rsidRDefault="0088410B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92212C" w:rsidRPr="004F7E58" w14:paraId="1365E234" w14:textId="77777777" w:rsidTr="0088410B">
        <w:trPr>
          <w:trHeight w:val="85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5116F3C8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7893148C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II.4.3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Pojednostaviti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plaćanje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prihoda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3D883758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III.4.C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Smanjen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broj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uplatnica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uplatu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prihoda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DC007CE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01.01.2022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3AF845B3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30.09.2025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6196B207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6D3893C0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2E892B75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67" w:type="dxa"/>
            <w:vAlign w:val="center"/>
            <w:hideMark/>
          </w:tcPr>
          <w:p w14:paraId="5F54E0F9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56479682" w14:textId="5446ACD1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u w:val="double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  <w:u w:val="double"/>
              </w:rPr>
              <w:t>Da</w:t>
            </w:r>
          </w:p>
        </w:tc>
      </w:tr>
      <w:tr w:rsidR="0092212C" w:rsidRPr="004F7E58" w14:paraId="646B2E51" w14:textId="77777777" w:rsidTr="0088410B">
        <w:trPr>
          <w:trHeight w:val="118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20685110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5CFA8E9B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II.4.5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elektronskog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porezno-upravnim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predmetima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FMF</w:t>
            </w:r>
          </w:p>
        </w:tc>
        <w:tc>
          <w:tcPr>
            <w:tcW w:w="1710" w:type="dxa"/>
            <w:shd w:val="clear" w:color="CCFFFF" w:fill="FFFFCC"/>
            <w:hideMark/>
          </w:tcPr>
          <w:p w14:paraId="133DA834" w14:textId="77777777" w:rsidR="0092212C" w:rsidRPr="004F7E58" w:rsidRDefault="0092212C" w:rsidP="009221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III.4.E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Ekspeditivno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efikasno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porezno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predmetima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F6A88D7" w14:textId="16370228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01.01.2024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7510718D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12E11913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608BA247" w14:textId="7777777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67DD565B" w14:textId="673B351C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</w:tcPr>
          <w:p w14:paraId="3146D5B9" w14:textId="6CD2CC67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0581ECEF" w14:textId="34A5E1B1" w:rsidR="0092212C" w:rsidRPr="004F7E58" w:rsidRDefault="0092212C" w:rsidP="009221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9F7048" w:rsidRPr="004F7E58" w14:paraId="0292FC77" w14:textId="77777777" w:rsidTr="0088410B">
        <w:trPr>
          <w:trHeight w:val="138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7EDCBAAE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74F29C92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II.4.6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elektronskog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predmetima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djelatnosti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igara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sreću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1A6D7485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III.4.F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Efikasno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predmetima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djelatnosti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igara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sreću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741BBFF2" w14:textId="46CB0A23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679F9881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31.03.2026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70AA74C9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564F40C0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Prihodi</w:t>
            </w:r>
            <w:proofErr w:type="spellEnd"/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3973D7CC" w14:textId="7F7D99CC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</w:tcPr>
          <w:p w14:paraId="2C2A82FB" w14:textId="585ED4DA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75EF90CD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9F7048" w:rsidRPr="004F7E58" w14:paraId="1F87E8E1" w14:textId="77777777" w:rsidTr="0088410B">
        <w:trPr>
          <w:trHeight w:val="102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5BEC1B99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0BEBA989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II.4.7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Unaprijediti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proces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naplate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prihoda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6AD394EE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III.4.G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Povećani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javni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prihodi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koje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kontroliše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PU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2055616" w14:textId="513546C5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3B4AA6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31C46BED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76D2615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115ADC4F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PU FBIH</w:t>
            </w:r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65C26CA8" w14:textId="47273AA6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3B4AA6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3B4AA6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vAlign w:val="center"/>
            <w:hideMark/>
          </w:tcPr>
          <w:p w14:paraId="6ECF5E71" w14:textId="66B49F73" w:rsidR="009F7048" w:rsidRPr="004F7E58" w:rsidRDefault="003B4AA6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bs-Latn-BA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Ova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započeta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2023.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usljed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nedostatka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kadrova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odgađa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2025.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očekuje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da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će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r w:rsidR="00EB57DC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2024.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nastaviti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zapošljavanje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time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stvoriti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preduslovi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rada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  <w:r w:rsidRPr="004F7E58">
              <w:rPr>
                <w:rFonts w:ascii="Calibri" w:eastAsia="Times New Roman" w:hAnsi="Calibri" w:cs="Calibri"/>
                <w:sz w:val="14"/>
                <w:szCs w:val="14"/>
                <w:lang w:val="bs-Latn-BA"/>
              </w:rPr>
              <w:t>.</w:t>
            </w:r>
            <w:proofErr w:type="gramEnd"/>
            <w:r w:rsidRPr="004F7E58">
              <w:rPr>
                <w:rFonts w:ascii="Calibri" w:eastAsia="Times New Roman" w:hAnsi="Calibri" w:cs="Calibri"/>
                <w:sz w:val="14"/>
                <w:szCs w:val="14"/>
                <w:lang w:val="bs-Latn-BA"/>
              </w:rPr>
              <w:t xml:space="preserve"> </w:t>
            </w:r>
          </w:p>
        </w:tc>
        <w:tc>
          <w:tcPr>
            <w:tcW w:w="946" w:type="dxa"/>
            <w:vAlign w:val="center"/>
            <w:hideMark/>
          </w:tcPr>
          <w:p w14:paraId="24670718" w14:textId="40622DDA" w:rsidR="009F7048" w:rsidRPr="004F7E58" w:rsidRDefault="00EB57DC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9F7048" w:rsidRPr="004F7E58" w14:paraId="4EA87A74" w14:textId="77777777" w:rsidTr="0088410B">
        <w:trPr>
          <w:trHeight w:val="52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3BFDCC51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12940B55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II.4.8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Smanjiti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postojeći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porezni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dug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54836F6E" w14:textId="77777777" w:rsidR="009F7048" w:rsidRPr="004F7E58" w:rsidRDefault="009F7048" w:rsidP="009F7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III.4.H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Smanjen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porezni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dug</w:t>
            </w:r>
            <w:proofErr w:type="spellEnd"/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156A79A" w14:textId="4F3699F5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01.01.2024</w:t>
            </w:r>
          </w:p>
        </w:tc>
        <w:tc>
          <w:tcPr>
            <w:tcW w:w="900" w:type="dxa"/>
            <w:shd w:val="clear" w:color="000000" w:fill="E2EFDA"/>
            <w:noWrap/>
            <w:vAlign w:val="center"/>
            <w:hideMark/>
          </w:tcPr>
          <w:p w14:paraId="04689438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31.03.2026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B0AD095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0" w:type="dxa"/>
            <w:shd w:val="clear" w:color="CCFFFF" w:fill="FCE4D6"/>
            <w:vAlign w:val="center"/>
            <w:hideMark/>
          </w:tcPr>
          <w:p w14:paraId="28F0AC5D" w14:textId="77777777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PU FBIH</w:t>
            </w:r>
          </w:p>
        </w:tc>
        <w:tc>
          <w:tcPr>
            <w:tcW w:w="1260" w:type="dxa"/>
            <w:shd w:val="clear" w:color="000000" w:fill="E2EFDA"/>
            <w:vAlign w:val="center"/>
            <w:hideMark/>
          </w:tcPr>
          <w:p w14:paraId="34112329" w14:textId="2B96A3AE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vAlign w:val="center"/>
            <w:hideMark/>
          </w:tcPr>
          <w:p w14:paraId="107E984A" w14:textId="5E371714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63A511CB" w14:textId="10EDD2EE" w:rsidR="009F7048" w:rsidRPr="004F7E58" w:rsidRDefault="009F7048" w:rsidP="009F7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</w:tbl>
    <w:p w14:paraId="67546AC8" w14:textId="77777777" w:rsidR="007F2E2C" w:rsidRPr="004F7E58" w:rsidRDefault="007F2E2C" w:rsidP="007F2E2C"/>
    <w:p w14:paraId="2C91765D" w14:textId="77777777" w:rsidR="007F2E2C" w:rsidRPr="004F7E58" w:rsidRDefault="007F2E2C" w:rsidP="007F2E2C">
      <w:r w:rsidRPr="004F7E58">
        <w:br w:type="page"/>
      </w:r>
    </w:p>
    <w:p w14:paraId="6376A35A" w14:textId="77777777" w:rsidR="007F2E2C" w:rsidRPr="004F7E58" w:rsidRDefault="007F2E2C" w:rsidP="007F2E2C"/>
    <w:tbl>
      <w:tblPr>
        <w:tblW w:w="13147" w:type="dxa"/>
        <w:tblInd w:w="173" w:type="dxa"/>
        <w:tblLook w:val="04A0" w:firstRow="1" w:lastRow="0" w:firstColumn="1" w:lastColumn="0" w:noHBand="0" w:noVBand="1"/>
      </w:tblPr>
      <w:tblGrid>
        <w:gridCol w:w="1020"/>
        <w:gridCol w:w="1760"/>
        <w:gridCol w:w="1698"/>
        <w:gridCol w:w="820"/>
        <w:gridCol w:w="533"/>
        <w:gridCol w:w="803"/>
        <w:gridCol w:w="892"/>
        <w:gridCol w:w="803"/>
        <w:gridCol w:w="803"/>
        <w:gridCol w:w="803"/>
        <w:gridCol w:w="803"/>
        <w:gridCol w:w="892"/>
        <w:gridCol w:w="1522"/>
      </w:tblGrid>
      <w:tr w:rsidR="007F2E2C" w:rsidRPr="004F7E58" w14:paraId="36CF00F7" w14:textId="77777777" w:rsidTr="00DC7F97">
        <w:trPr>
          <w:trHeight w:val="5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9E2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B5B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A62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944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BE7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9E1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CCE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A05A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7869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840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E29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BEF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00000"/>
            <w:vAlign w:val="center"/>
            <w:hideMark/>
          </w:tcPr>
          <w:p w14:paraId="54C5796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br/>
              <w:t>stupa</w:t>
            </w:r>
          </w:p>
        </w:tc>
      </w:tr>
      <w:tr w:rsidR="007F2E2C" w:rsidRPr="004F7E58" w14:paraId="10A1BE59" w14:textId="77777777" w:rsidTr="00DC7F97">
        <w:trPr>
          <w:trHeight w:val="525"/>
        </w:trPr>
        <w:tc>
          <w:tcPr>
            <w:tcW w:w="91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3E64E57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STUP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:  III.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PLANIRANJE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BUDŽETIRANJE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3FC2CE2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2F6ABD0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2CE284B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090B46A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Budžet</w:t>
            </w:r>
            <w:proofErr w:type="spellEnd"/>
          </w:p>
        </w:tc>
      </w:tr>
      <w:tr w:rsidR="007F2E2C" w:rsidRPr="004F7E58" w14:paraId="42DD6971" w14:textId="77777777" w:rsidTr="00DC7F97">
        <w:trPr>
          <w:trHeight w:val="7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01BB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stupa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555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A498E0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podataka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verifikaciju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DA12E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3437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09B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Polazna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465C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17B4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3F0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2023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0E9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8EC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37F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Indikator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strategiji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UJF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EAF59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Izvjestitelj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vrijednosti</w:t>
            </w:r>
            <w:proofErr w:type="spellEnd"/>
          </w:p>
        </w:tc>
      </w:tr>
      <w:tr w:rsidR="007F2E2C" w:rsidRPr="004F7E58" w14:paraId="71634513" w14:textId="77777777" w:rsidTr="004F7E58">
        <w:trPr>
          <w:trHeight w:val="6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322F2F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III.A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Veza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politika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budžeta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pojačana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ED08CB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III.A.a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Budžet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FBIH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priprema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usvaja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objavljuje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programskom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formatu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11B2C97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Službeni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glasnik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FBIH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12E74ED8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EC876E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7B8766B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147C8E0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0960FBF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8AEAAF0" w14:textId="7A3ED57D" w:rsidR="007F2E2C" w:rsidRPr="004F7E58" w:rsidRDefault="005C6BF2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0FE0973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6163DF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99FF"/>
            <w:vAlign w:val="center"/>
            <w:hideMark/>
          </w:tcPr>
          <w:p w14:paraId="0E54524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3E41E1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Budžet</w:t>
            </w:r>
            <w:proofErr w:type="spellEnd"/>
          </w:p>
        </w:tc>
      </w:tr>
    </w:tbl>
    <w:p w14:paraId="085DD940" w14:textId="77777777" w:rsidR="007F2E2C" w:rsidRPr="004F7E58" w:rsidRDefault="007F2E2C" w:rsidP="007F2E2C"/>
    <w:tbl>
      <w:tblPr>
        <w:tblW w:w="13851" w:type="dxa"/>
        <w:tblInd w:w="376" w:type="dxa"/>
        <w:tblLook w:val="04A0" w:firstRow="1" w:lastRow="0" w:firstColumn="1" w:lastColumn="0" w:noHBand="0" w:noVBand="1"/>
      </w:tblPr>
      <w:tblGrid>
        <w:gridCol w:w="335"/>
        <w:gridCol w:w="4058"/>
        <w:gridCol w:w="1718"/>
        <w:gridCol w:w="818"/>
        <w:gridCol w:w="824"/>
        <w:gridCol w:w="818"/>
        <w:gridCol w:w="1178"/>
        <w:gridCol w:w="257"/>
        <w:gridCol w:w="1032"/>
        <w:gridCol w:w="1867"/>
        <w:gridCol w:w="946"/>
      </w:tblGrid>
      <w:tr w:rsidR="007F2E2C" w:rsidRPr="004F7E58" w14:paraId="07542C30" w14:textId="77777777" w:rsidTr="00B27BF0">
        <w:trPr>
          <w:trHeight w:val="162"/>
        </w:trPr>
        <w:tc>
          <w:tcPr>
            <w:tcW w:w="335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15180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8019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1BC0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47E90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C4AFF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FE74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7795D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BCEC5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BFA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  <w:hideMark/>
          </w:tcPr>
          <w:p w14:paraId="073E97D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54044662" w14:textId="77777777" w:rsidTr="00B27BF0">
        <w:trPr>
          <w:trHeight w:val="162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32FE46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5C9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577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29B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9E1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4E3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9F7D5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90E4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D48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776CF8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76C582AB" w14:textId="77777777" w:rsidTr="00B27BF0">
        <w:trPr>
          <w:trHeight w:val="450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30CFD5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0918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AEEF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E18D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B3F1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0AA3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563F4E7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2B59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DA48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ECD586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76A4FE9A" w14:textId="77777777" w:rsidTr="00B27BF0">
        <w:trPr>
          <w:trHeight w:val="255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1232C1C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III.2.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Proširivanje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obuhvata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DOB-a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403F9E5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3A972C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 </w:t>
            </w:r>
          </w:p>
        </w:tc>
      </w:tr>
      <w:tr w:rsidR="00EB57DC" w:rsidRPr="004F7E58" w14:paraId="178DEECD" w14:textId="77777777" w:rsidTr="00B27BF0">
        <w:trPr>
          <w:trHeight w:val="55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2C850A2" w14:textId="77777777" w:rsidR="00EB57DC" w:rsidRPr="004F7E58" w:rsidRDefault="00EB57DC" w:rsidP="00EB5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5E7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DA98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AE497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59EF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00F1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CC3B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D37E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5D5E" w14:textId="4235796B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BBC2" w14:textId="27EB9A1C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F12067" w:rsidRPr="004F7E58" w14:paraId="76F81193" w14:textId="77777777" w:rsidTr="00B27BF0">
        <w:trPr>
          <w:trHeight w:val="1020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B0EE279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4513180B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III.2.1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obuhvata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konsolidiranih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rashoda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DOB.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CC"/>
            <w:hideMark/>
          </w:tcPr>
          <w:p w14:paraId="088E40E8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III.2.A DOB FBiH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uključuje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informaciju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o DOB-u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kantona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CAEC4" w14:textId="5163436D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A96EAC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76B51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6CACCA0F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D084CE" w14:textId="13D01E9A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A748" w14:textId="36DCD14A" w:rsidR="00F12067" w:rsidRPr="004F7E58" w:rsidRDefault="00735AD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543D4" w14:textId="751289FB" w:rsidR="00735AD7" w:rsidRPr="004F7E58" w:rsidRDefault="00EB57DC" w:rsidP="00735A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F12067" w:rsidRPr="004F7E58" w14:paraId="0C55CBC4" w14:textId="77777777" w:rsidTr="00B27BF0">
        <w:trPr>
          <w:trHeight w:val="1350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25C73462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6631505E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III.2.2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Proširivanje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DOB-a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kantona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uključivanjem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nižih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fondova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)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CC"/>
            <w:hideMark/>
          </w:tcPr>
          <w:p w14:paraId="0CE50BE8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III.2.B DOB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kantona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redovno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izrađuju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uključuju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informacije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fondova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općina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066A05" w14:textId="6D23BDAE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E1822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0B3C8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1E4DDAFF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72C39" w14:textId="0B86C8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A66" w14:textId="08D477A2" w:rsidR="00F12067" w:rsidRPr="004F7E58" w:rsidRDefault="00735AD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40F723" w14:textId="7C76034A" w:rsidR="00F12067" w:rsidRPr="004F7E58" w:rsidRDefault="00EB57DC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F12067" w:rsidRPr="004F7E58" w14:paraId="3C1BC7B2" w14:textId="77777777" w:rsidTr="00B27BF0">
        <w:trPr>
          <w:trHeight w:val="85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276CDB5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32BE78BD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III.2.3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Priprema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prijedloga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budžeta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u n+2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formatu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502AB849" w14:textId="77777777" w:rsidR="00F12067" w:rsidRPr="004F7E58" w:rsidRDefault="00F12067" w:rsidP="00F120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III.2.C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Budžeti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FBiH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izrađuju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u n+2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formatu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CA941" w14:textId="59CA967F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01.04.202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5E932" w14:textId="44D680FD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0010D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5FE51A0D" w14:textId="77777777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2545C1" w14:textId="5A638480" w:rsidR="00F12067" w:rsidRPr="004F7E58" w:rsidRDefault="00F1206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DF91" w14:textId="08E90256" w:rsidR="00F12067" w:rsidRPr="004F7E58" w:rsidRDefault="00735AD7" w:rsidP="00F12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B198" w14:textId="24BFD3D6" w:rsidR="00F12067" w:rsidRPr="004F7E58" w:rsidRDefault="00EB57DC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3F09096D" w14:textId="77777777" w:rsidTr="00B27BF0">
        <w:trPr>
          <w:trHeight w:val="162"/>
        </w:trPr>
        <w:tc>
          <w:tcPr>
            <w:tcW w:w="335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C8C95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C1A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1321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9AF50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B6A3C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6A0E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48797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67B99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CD0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24D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444BEE72" w14:textId="77777777" w:rsidTr="00B27BF0">
        <w:trPr>
          <w:trHeight w:val="162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8BB7DF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B5C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C0DA4" w14:textId="3F48D803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93AE4C" w14:textId="77777777" w:rsidR="00714A06" w:rsidRPr="004F7E58" w:rsidRDefault="00714A06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90C16F" w14:textId="1DFEA591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275A1" w14:textId="3E07860B" w:rsidR="00714A06" w:rsidRPr="004F7E58" w:rsidRDefault="00714A06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AE24B2" w14:textId="77777777" w:rsidR="00714A06" w:rsidRPr="004F7E58" w:rsidRDefault="00714A06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0BCED9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C79EA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307FF5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DBCDF0" w14:textId="076E0132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30E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CB8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460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31D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237BAC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613D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7F4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FF9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74BAA9FC" w14:textId="77777777" w:rsidTr="00B27BF0">
        <w:trPr>
          <w:trHeight w:val="450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30075F0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AB0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B4F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1FD0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954C2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BCF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5DDB6EC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57A1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AC91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111F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07F2AD27" w14:textId="77777777" w:rsidTr="00B27BF0">
        <w:trPr>
          <w:trHeight w:val="255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38181B6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III.3.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Uključiti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vanbudžetske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fondove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direkcije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puteve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budžete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FE0768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</w:t>
            </w:r>
            <w:proofErr w:type="spellEnd"/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</w:tcPr>
          <w:p w14:paraId="312F8AF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</w:p>
        </w:tc>
      </w:tr>
      <w:tr w:rsidR="00EB57DC" w:rsidRPr="004F7E58" w14:paraId="56101088" w14:textId="77777777" w:rsidTr="00B27BF0">
        <w:trPr>
          <w:trHeight w:val="55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03E963F9" w14:textId="77777777" w:rsidR="00EB57DC" w:rsidRPr="004F7E58" w:rsidRDefault="00EB57DC" w:rsidP="00EB5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00C7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AA69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48FF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4A15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39A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2AF9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45A2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3403" w14:textId="0495177E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40F6" w14:textId="779092CA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873E7F" w:rsidRPr="004F7E58" w14:paraId="7C9B60F5" w14:textId="77777777" w:rsidTr="00B27BF0">
        <w:trPr>
          <w:trHeight w:val="1515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4157124A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44657567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III.3.1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Uključivanje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vanbudžetskih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fondova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Federacije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BiH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Federacije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BiH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0355C611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III.3.A FBiH fond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zapošljavanje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dio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budžeta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FBiH fond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zdravstvo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dio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budžeta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9C1EE5" w14:textId="6D323F5E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9EAD1" w14:textId="4CD5DE5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92338A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03CFDFEC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CE0958" w14:textId="50A8602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6B89" w14:textId="7D28B592" w:rsidR="00873E7F" w:rsidRPr="004F7E58" w:rsidRDefault="00735AD7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5D4E" w14:textId="2877B7AA" w:rsidR="00873E7F" w:rsidRPr="004F7E58" w:rsidRDefault="00EB57DC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873E7F" w:rsidRPr="004F7E58" w14:paraId="368930DA" w14:textId="77777777" w:rsidTr="00B27BF0">
        <w:trPr>
          <w:trHeight w:val="138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6FE39F39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0A60303E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III.3.2 Na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kantona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uključiti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vanbudžetske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fondove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direkcije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puteve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visokoškolske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ustanove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2727689B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III.3.B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Kantoni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uključuju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fondove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direkcije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ceste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E4D0FC" w14:textId="5608D4E6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01.07.2024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3222BF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6BD301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578A8A21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E1F9BD" w14:textId="455B2350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 za GAP 202</w:t>
            </w:r>
            <w:r w:rsidR="00735AD7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BB21" w14:textId="7F1F1469" w:rsidR="00873E7F" w:rsidRPr="004F7E58" w:rsidRDefault="00735AD7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pomijera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 xml:space="preserve"> 2025.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sz w:val="14"/>
                <w:szCs w:val="14"/>
                <w:lang w:val="fr-FR"/>
              </w:rPr>
              <w:t>godine</w:t>
            </w:r>
            <w:proofErr w:type="spellEnd"/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9105" w14:textId="6D8572C1" w:rsidR="00873E7F" w:rsidRPr="004F7E58" w:rsidRDefault="00EB57DC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50BC2596" w14:textId="77777777" w:rsidTr="00B27BF0">
        <w:trPr>
          <w:trHeight w:val="162"/>
        </w:trPr>
        <w:tc>
          <w:tcPr>
            <w:tcW w:w="335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23F25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4B09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7B1E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1FFC57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C47B0C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518B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A1B8D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3DB95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549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D73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5CDC76DC" w14:textId="77777777" w:rsidTr="00B27BF0">
        <w:trPr>
          <w:trHeight w:val="162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CFAD10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8B6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C48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5DE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D9A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D61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27375A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4F87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7F3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2B3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51BA42DC" w14:textId="77777777" w:rsidTr="00B27BF0">
        <w:trPr>
          <w:trHeight w:val="450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10C8BC8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4478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D56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F44F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5268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B88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519D8CC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D71B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B29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77D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27DD772F" w14:textId="77777777" w:rsidTr="00B27BF0">
        <w:trPr>
          <w:trHeight w:val="255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1A3C92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:</w:t>
            </w:r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 xml:space="preserve"> III.4.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Unapređenje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budžetiranja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programskom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formatu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</w:tcPr>
          <w:p w14:paraId="33682E0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</w:tcPr>
          <w:p w14:paraId="3EBB05E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</w:p>
        </w:tc>
      </w:tr>
      <w:tr w:rsidR="00EB57DC" w:rsidRPr="004F7E58" w14:paraId="6A9C95E9" w14:textId="77777777" w:rsidTr="00B27BF0">
        <w:trPr>
          <w:trHeight w:val="55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63215DF" w14:textId="77777777" w:rsidR="00EB57DC" w:rsidRPr="004F7E58" w:rsidRDefault="00EB57DC" w:rsidP="00EB5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  <w:lang w:val="fr-FR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F702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F040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02B013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A72A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BD11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019B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5547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4097" w14:textId="28BFD9AA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9262" w14:textId="7C207628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873E7F" w:rsidRPr="004F7E58" w14:paraId="40F83127" w14:textId="77777777" w:rsidTr="00B27BF0">
        <w:trPr>
          <w:trHeight w:val="1380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14300375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110163FE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III.4.1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kadrovskih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Sektora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rashode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Federalnog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ministarstva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finansija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7D65BB7F" w14:textId="1F2C1BD6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III.4.A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Ojačani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kadrovski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kapaciteti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Sektora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budžet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FMF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6E821" w14:textId="25A88F19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01.01.2024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941088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B0361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68CD6F23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2D75D2" w14:textId="0519E352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0DC68A" w14:textId="4ABA1076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8064" w14:textId="3AC12E9F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873E7F" w:rsidRPr="004F7E58" w14:paraId="389A644E" w14:textId="77777777" w:rsidTr="00B27BF0">
        <w:trPr>
          <w:trHeight w:val="1380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67E464EF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4001022F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III.4.3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Priprema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metodologije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integrisanog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sistema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budzetskog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planiranja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vezano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politike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01BDAB5B" w14:textId="30C7C19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III.4.C </w:t>
            </w:r>
            <w:r w:rsidRPr="004F7E58">
              <w:rPr>
                <w:i/>
                <w:noProof/>
                <w:sz w:val="12"/>
                <w:szCs w:val="12"/>
                <w:lang w:val="bs-Latn-BA"/>
              </w:rPr>
              <w:t>Vidi III.4.B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637336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7BE74" w14:textId="7E0B199C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30.09.2024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623ED6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69115149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684A8A" w14:textId="6DB4D8C1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0074FD" w14:textId="3831EAF3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C5962D" w14:textId="1CCAD169" w:rsidR="00873E7F" w:rsidRPr="004F7E58" w:rsidRDefault="00EB57DC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873E7F" w:rsidRPr="004F7E58" w14:paraId="0F3C3193" w14:textId="77777777" w:rsidTr="00B27BF0">
        <w:trPr>
          <w:trHeight w:val="930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4586848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3EA550A6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III.4.8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JLS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programsko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budžetiranje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6713B683" w14:textId="06109AB2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III.4.H</w:t>
            </w:r>
            <w:r w:rsidRPr="004F7E58"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Ojačani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kapaciteti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JLS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programsko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budžetiranje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DA0FE" w14:textId="10E6654F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63593" w14:textId="0020EABE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30.09.2025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20146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4457AF19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535A9" w14:textId="586D5AF3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7D98" w14:textId="4AF7949A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0AF6" w14:textId="29004830" w:rsidR="00873E7F" w:rsidRPr="004F7E58" w:rsidRDefault="00EB57DC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873E7F" w:rsidRPr="004F7E58" w14:paraId="20B5DEC4" w14:textId="77777777" w:rsidTr="00B27BF0">
        <w:trPr>
          <w:trHeight w:val="162"/>
        </w:trPr>
        <w:tc>
          <w:tcPr>
            <w:tcW w:w="335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BEF6C4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13467C58" w14:textId="04929731" w:rsidR="00714A06" w:rsidRPr="004F7E58" w:rsidRDefault="00714A06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CE854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9A65E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406BC4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7335B7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7C74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135937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525C30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62AB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3408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E7F" w:rsidRPr="004F7E58" w14:paraId="704D3458" w14:textId="77777777" w:rsidTr="00B27BF0">
        <w:trPr>
          <w:trHeight w:val="162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C2FC018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8D12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E95014" w14:textId="2B4EBD10" w:rsidR="00F12895" w:rsidRPr="004F7E58" w:rsidRDefault="00F12895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F6BD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AAF2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CA2C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E609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C96980C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E7B7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2BC6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3209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E7F" w:rsidRPr="004F7E58" w14:paraId="791B68C0" w14:textId="77777777" w:rsidTr="00B27BF0">
        <w:trPr>
          <w:trHeight w:val="450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CDE1332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34F7D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020DA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D3E96" w14:textId="77777777" w:rsidR="006D2B33" w:rsidRPr="004F7E58" w:rsidRDefault="006D2B33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6C19C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E2B3B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D3AB2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0981845A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2153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4292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B794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E7F" w:rsidRPr="004F7E58" w14:paraId="39BA77D4" w14:textId="77777777" w:rsidTr="00B27BF0">
        <w:trPr>
          <w:trHeight w:val="255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2B8E9299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III.5.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Poboljšanje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software-a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pripremu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budzeta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trezorskog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sistema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nivou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FBiH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kantona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179AD35F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Trezor</w:t>
            </w:r>
            <w:proofErr w:type="spellEnd"/>
          </w:p>
        </w:tc>
        <w:tc>
          <w:tcPr>
            <w:tcW w:w="4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9ABAA8C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</w:p>
        </w:tc>
      </w:tr>
      <w:tr w:rsidR="00EB57DC" w:rsidRPr="004F7E58" w14:paraId="2D16D582" w14:textId="77777777" w:rsidTr="00B27BF0">
        <w:trPr>
          <w:trHeight w:val="555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4193D7FB" w14:textId="77777777" w:rsidR="00EB57DC" w:rsidRPr="004F7E58" w:rsidRDefault="00EB57DC" w:rsidP="00EB5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9B76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F18F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0BFCF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3F44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F017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AC5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BE4C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1E35" w14:textId="1B0B7F9C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C4B8" w14:textId="6DB1796C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873E7F" w:rsidRPr="004F7E58" w14:paraId="0F8E8344" w14:textId="77777777" w:rsidTr="00B27BF0">
        <w:trPr>
          <w:trHeight w:val="85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E2AFD8C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524DEA34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III.5.3.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novog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IT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sistema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pripremu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izradu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budžeta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121EC0F5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III.5.C Novi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koristi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pripremu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budžeta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DD3857" w14:textId="124AD9E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</w:t>
            </w:r>
            <w:r w:rsidR="006D2B33" w:rsidRPr="004F7E58">
              <w:rPr>
                <w:rFonts w:ascii="Calibri" w:eastAsia="Times New Roman" w:hAnsi="Calibri" w:cs="Calibri"/>
                <w:sz w:val="12"/>
                <w:szCs w:val="12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C74A6F" w14:textId="60428D7A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EB57DC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F3C38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0D361D85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173461" w14:textId="247A6429" w:rsidR="00873E7F" w:rsidRPr="004F7E58" w:rsidRDefault="006D2B33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C</w:t>
            </w:r>
            <w:r w:rsidR="00873E7F"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r w:rsidR="00873E7F" w:rsidRPr="004F7E58">
              <w:rPr>
                <w:rFonts w:ascii="Calibri" w:eastAsia="Times New Roman" w:hAnsi="Calibri" w:cs="Calibri"/>
                <w:sz w:val="12"/>
                <w:szCs w:val="12"/>
              </w:rPr>
              <w:t>(u 202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="00873E7F"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. za </w:t>
            </w:r>
            <w:proofErr w:type="spellStart"/>
            <w:r w:rsidR="00873E7F" w:rsidRPr="004F7E58">
              <w:rPr>
                <w:rFonts w:ascii="Calibri" w:eastAsia="Times New Roman" w:hAnsi="Calibri" w:cs="Calibri"/>
                <w:sz w:val="12"/>
                <w:szCs w:val="12"/>
              </w:rPr>
              <w:t>GIR</w:t>
            </w:r>
            <w:proofErr w:type="spellEnd"/>
            <w:r w:rsidR="00873E7F"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202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  <w:r w:rsidR="00873E7F" w:rsidRPr="004F7E58">
              <w:rPr>
                <w:rFonts w:ascii="Calibri" w:eastAsia="Times New Roman" w:hAnsi="Calibri" w:cs="Calibri"/>
                <w:sz w:val="12"/>
                <w:szCs w:val="12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EDD" w14:textId="1790F37A" w:rsidR="00873E7F" w:rsidRPr="004F7E58" w:rsidRDefault="006D2B33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U 2022.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provedene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procedure za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odobrenje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sredstava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pripremu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tendera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sredstava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predpristupne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pomoći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organizaciji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Delegacije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EU.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2023.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provela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procedura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odabira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izvođača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strane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Evropske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unije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očekuje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2024.</w:t>
            </w:r>
            <w:r w:rsidR="00EB57DC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I 2025.</w:t>
            </w: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F769" w14:textId="09CA3159" w:rsidR="00873E7F" w:rsidRPr="004F7E58" w:rsidRDefault="00EB57DC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873E7F" w:rsidRPr="004F7E58" w14:paraId="6B376199" w14:textId="77777777" w:rsidTr="00B27BF0">
        <w:trPr>
          <w:trHeight w:val="162"/>
        </w:trPr>
        <w:tc>
          <w:tcPr>
            <w:tcW w:w="335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4E6E97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57B1D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0BC5C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C6F170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2916BA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9AA85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EF9F11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B5EE1F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F5C7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ADF4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E7F" w:rsidRPr="004F7E58" w14:paraId="5C0AF53F" w14:textId="77777777" w:rsidTr="00B27BF0">
        <w:trPr>
          <w:trHeight w:val="162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46A8235E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9F7F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9684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1575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2D243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4D59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2694D97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24FCE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6349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C302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E7F" w:rsidRPr="004F7E58" w14:paraId="13C6FE97" w14:textId="77777777" w:rsidTr="00B27BF0">
        <w:trPr>
          <w:trHeight w:val="450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B6F63B4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0C6DB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9B0EE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54731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90D7F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7B426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44170F1D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BA85F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2060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D0E0" w14:textId="77777777" w:rsidR="00873E7F" w:rsidRPr="004F7E58" w:rsidRDefault="00873E7F" w:rsidP="0087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3E7F" w:rsidRPr="004F7E58" w14:paraId="3D6AADB7" w14:textId="77777777" w:rsidTr="00B27BF0">
        <w:trPr>
          <w:trHeight w:val="255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542198D5" w14:textId="77777777" w:rsidR="00873E7F" w:rsidRPr="004F7E58" w:rsidRDefault="00873E7F" w:rsidP="00873E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III.6.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planiranja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monitoringa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investicija</w:t>
            </w:r>
            <w:proofErr w:type="spell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7F10324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641234CC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9806335" w14:textId="77777777" w:rsidR="00873E7F" w:rsidRPr="004F7E58" w:rsidRDefault="00873E7F" w:rsidP="00873E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EB57DC" w:rsidRPr="004F7E58" w14:paraId="67BB2C69" w14:textId="77777777" w:rsidTr="00B27BF0">
        <w:trPr>
          <w:trHeight w:val="555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40970791" w14:textId="77777777" w:rsidR="00EB57DC" w:rsidRPr="004F7E58" w:rsidRDefault="00EB57DC" w:rsidP="00EB57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2774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8EEC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97ED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42EAC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294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C64A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EC83" w14:textId="77777777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1929" w14:textId="7EF31D2A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FCE2" w14:textId="1D2A4436" w:rsidR="00EB57DC" w:rsidRPr="004F7E58" w:rsidRDefault="00EB57DC" w:rsidP="00EB57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65740D" w:rsidRPr="004F7E58" w14:paraId="11C611EF" w14:textId="77777777" w:rsidTr="00B27BF0">
        <w:trPr>
          <w:trHeight w:val="2670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12A3AED6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2C76F06E" w14:textId="6597E722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III.6.1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Poboljšanje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okvira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procesa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unutar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FBiH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69F277A3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III.6.A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kandidovanih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projekata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investicija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koji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ulaze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PIMIS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kandidovanih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projekata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unutar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FB</w:t>
            </w: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bdr w:val="single" w:sz="4" w:space="0" w:color="auto"/>
              </w:rPr>
              <w:t>i</w:t>
            </w: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H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49397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01.04.2022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FEC67E" w14:textId="523DCE6F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1CA48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268A0566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FDDA59" w14:textId="4552D561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35F8" w14:textId="063576A4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0FF6" w14:textId="5BA550A5" w:rsidR="0065740D" w:rsidRPr="004F7E58" w:rsidRDefault="00EB57DC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65740D" w:rsidRPr="004F7E58" w14:paraId="35939B70" w14:textId="77777777" w:rsidTr="00B27BF0">
        <w:trPr>
          <w:trHeight w:val="1350"/>
        </w:trPr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6AABA4A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0EB99921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III.6.2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Izgradnja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planiranje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monitoring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investicija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01343E5D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III.6.B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Ključni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kadar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projektima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prošao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obuku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certificirani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su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9322D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01.04.2022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6D1A0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74ADEF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2C417641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625994" w14:textId="0AE2FDAF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64EB" w14:textId="6DF83BF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9A1" w14:textId="6D778C87" w:rsidR="0065740D" w:rsidRPr="004F7E58" w:rsidRDefault="00EB57DC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65740D" w:rsidRPr="004F7E58" w14:paraId="67A53AFC" w14:textId="77777777" w:rsidTr="00B27BF0">
        <w:trPr>
          <w:trHeight w:val="85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ABEE922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0902A834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III.6.3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Unaprjeđenje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PIMIS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IT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sistema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45FB8744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III.6.C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Novi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/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unaprijeđeni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PIMIS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softver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funkcionalan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811444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01.04.2022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3695E" w14:textId="6D39BE18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</w:t>
            </w:r>
            <w:r w:rsidR="00B27BF0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E0DE0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1006EBDF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9384E7" w14:textId="6C22DDDE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8947" w14:textId="63E64AB1" w:rsidR="0065740D" w:rsidRPr="004F7E58" w:rsidRDefault="00B27BF0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očekuje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2025.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2026.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5044" w14:textId="05751498" w:rsidR="0065740D" w:rsidRPr="004F7E58" w:rsidRDefault="00B27BF0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5740D" w:rsidRPr="004F7E58" w14:paraId="4930CC46" w14:textId="77777777" w:rsidTr="00B27BF0">
        <w:trPr>
          <w:trHeight w:val="162"/>
        </w:trPr>
        <w:tc>
          <w:tcPr>
            <w:tcW w:w="335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D4C02B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D1DAB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001D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B92DF5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24C62D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392B4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AFC6FA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713884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F5AB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9987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40D" w:rsidRPr="004F7E58" w14:paraId="54556173" w14:textId="77777777" w:rsidTr="00B27BF0">
        <w:trPr>
          <w:trHeight w:val="162"/>
        </w:trPr>
        <w:tc>
          <w:tcPr>
            <w:tcW w:w="335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7019798F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64E1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BE04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74B9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ABCE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EC6D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AE115B3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307F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4204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710B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40D" w:rsidRPr="004F7E58" w14:paraId="2091487E" w14:textId="77777777" w:rsidTr="00B27BF0">
        <w:trPr>
          <w:trHeight w:val="450"/>
        </w:trPr>
        <w:tc>
          <w:tcPr>
            <w:tcW w:w="335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86A4B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62A035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8C660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CF48C2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272C4C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DB0FCA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17F98A5B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D93F5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2021B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7B96D" w14:textId="77777777" w:rsidR="0065740D" w:rsidRPr="004F7E58" w:rsidRDefault="0065740D" w:rsidP="00657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740D" w:rsidRPr="004F7E58" w14:paraId="54169D00" w14:textId="77777777" w:rsidTr="00B27BF0">
        <w:trPr>
          <w:trHeight w:val="255"/>
        </w:trPr>
        <w:tc>
          <w:tcPr>
            <w:tcW w:w="8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096BE9A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III.7.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Uspostava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struktura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sredstvima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Evropske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unije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21ACF98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499AD628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</w:p>
        </w:tc>
      </w:tr>
      <w:tr w:rsidR="00B27BF0" w:rsidRPr="004F7E58" w14:paraId="1D5B1BB4" w14:textId="77777777" w:rsidTr="00B27BF0">
        <w:trPr>
          <w:trHeight w:val="55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0291F0B4" w14:textId="77777777" w:rsidR="00B27BF0" w:rsidRPr="004F7E58" w:rsidRDefault="00B27BF0" w:rsidP="00B27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EBD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875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AE50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1CC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302C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EA12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5F1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2283" w14:textId="1084F8A2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306" w14:textId="0988345C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65740D" w:rsidRPr="004F7E58" w14:paraId="53B38003" w14:textId="77777777" w:rsidTr="00B27BF0">
        <w:trPr>
          <w:trHeight w:val="1155"/>
        </w:trPr>
        <w:tc>
          <w:tcPr>
            <w:tcW w:w="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4B4278CB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5020EA9F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III.7.1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Izrada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mape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puta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uspostavu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struktura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sredstvima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Evropske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unije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19D5BEAA" w14:textId="77777777" w:rsidR="0065740D" w:rsidRPr="004F7E58" w:rsidRDefault="0065740D" w:rsidP="006574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III.7.A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Mapa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puta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izrađena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03EA0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01.10.2024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6F42CF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362F25D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Da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15F8BAAC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E06A5" w14:textId="043BA9A6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9738" w14:textId="77777777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30C9" w14:textId="310B026C" w:rsidR="0065740D" w:rsidRPr="004F7E58" w:rsidRDefault="0065740D" w:rsidP="006574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</w:tbl>
    <w:p w14:paraId="2842C9A2" w14:textId="77777777" w:rsidR="007F2E2C" w:rsidRPr="004F7E58" w:rsidRDefault="007F2E2C" w:rsidP="007F2E2C"/>
    <w:p w14:paraId="253E1DD3" w14:textId="77777777" w:rsidR="007F2E2C" w:rsidRPr="004F7E58" w:rsidRDefault="007F2E2C" w:rsidP="007F2E2C"/>
    <w:p w14:paraId="5B0AF68D" w14:textId="77777777" w:rsidR="007F2E2C" w:rsidRPr="004F7E58" w:rsidRDefault="007F2E2C" w:rsidP="007F2E2C">
      <w:r w:rsidRPr="004F7E58">
        <w:br w:type="page"/>
      </w:r>
    </w:p>
    <w:p w14:paraId="4EA16354" w14:textId="77777777" w:rsidR="007F2E2C" w:rsidRPr="004F7E58" w:rsidRDefault="007F2E2C" w:rsidP="007F2E2C"/>
    <w:tbl>
      <w:tblPr>
        <w:tblW w:w="13163" w:type="dxa"/>
        <w:tblInd w:w="157" w:type="dxa"/>
        <w:tblLook w:val="04A0" w:firstRow="1" w:lastRow="0" w:firstColumn="1" w:lastColumn="0" w:noHBand="0" w:noVBand="1"/>
      </w:tblPr>
      <w:tblGrid>
        <w:gridCol w:w="1020"/>
        <w:gridCol w:w="1760"/>
        <w:gridCol w:w="1709"/>
        <w:gridCol w:w="820"/>
        <w:gridCol w:w="448"/>
        <w:gridCol w:w="803"/>
        <w:gridCol w:w="892"/>
        <w:gridCol w:w="803"/>
        <w:gridCol w:w="803"/>
        <w:gridCol w:w="803"/>
        <w:gridCol w:w="892"/>
        <w:gridCol w:w="892"/>
        <w:gridCol w:w="1522"/>
      </w:tblGrid>
      <w:tr w:rsidR="007F2E2C" w:rsidRPr="004F7E58" w14:paraId="4F329C5B" w14:textId="77777777" w:rsidTr="00DC7F97">
        <w:trPr>
          <w:trHeight w:val="5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5AC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F57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64B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B66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D6D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F9D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467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F90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6B6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B4A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0B5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E9A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00000"/>
            <w:vAlign w:val="center"/>
            <w:hideMark/>
          </w:tcPr>
          <w:p w14:paraId="487F1AC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br/>
              <w:t>stupa</w:t>
            </w:r>
          </w:p>
        </w:tc>
      </w:tr>
      <w:tr w:rsidR="007F2E2C" w:rsidRPr="004F7E58" w14:paraId="3AA69F46" w14:textId="77777777" w:rsidTr="00DC7F97">
        <w:trPr>
          <w:trHeight w:val="525"/>
        </w:trPr>
        <w:tc>
          <w:tcPr>
            <w:tcW w:w="8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63A5300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STUP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:  IV.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IZVRŠENJE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PRORAČUNA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32FE4F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6F6EC31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073E7B5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030F289B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77956DE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Trezor</w:t>
            </w:r>
            <w:proofErr w:type="spellEnd"/>
          </w:p>
        </w:tc>
      </w:tr>
      <w:tr w:rsidR="007F2E2C" w:rsidRPr="004F7E58" w14:paraId="3D2522F0" w14:textId="77777777" w:rsidTr="00DC7F97">
        <w:trPr>
          <w:trHeight w:val="7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9152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stupa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238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1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FD5FD7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podataka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verifikaciju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6A592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EB4EF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02D3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Polazna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49E7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B14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E779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2023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D00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EBB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D4D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Indikator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strategiji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UJF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D67A7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Izvjestitelj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vrijednosti</w:t>
            </w:r>
            <w:proofErr w:type="spellEnd"/>
          </w:p>
        </w:tc>
      </w:tr>
      <w:tr w:rsidR="007F2E2C" w:rsidRPr="004F7E58" w14:paraId="5494D42C" w14:textId="77777777" w:rsidTr="004F7E58">
        <w:trPr>
          <w:trHeight w:val="102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54BA26C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IV.A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Dospjele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neizmirene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obaveze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su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smanjene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fr-FR"/>
              </w:rPr>
              <w:t>FBIH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046DA49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IV.A.a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Smanjenje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akumuliranog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deficita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7D4FEC9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Izvještaj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neizmirenim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obavezama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7E34AF2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6314C7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C4EE8C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A446CE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1E12179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72078A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73C1E60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0A367D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smanjenje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5%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7D2E11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00122EA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Trezor</w:t>
            </w:r>
            <w:proofErr w:type="spellEnd"/>
          </w:p>
        </w:tc>
      </w:tr>
      <w:tr w:rsidR="00267B19" w:rsidRPr="004F7E58" w14:paraId="044612A3" w14:textId="77777777" w:rsidTr="004F7E58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DDEBF7"/>
            <w:hideMark/>
          </w:tcPr>
          <w:p w14:paraId="6C9C807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IV.B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Poboljšana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efikasnost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izvršenja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budžeta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AF92C9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IV.B.a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Uvođenje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novih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modula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5430BBA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Trezorski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sistem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6C9AE55B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0D5DB40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ED0D7B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0CEFAF5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2276B9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D581DE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88120A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6CCDB34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99FF"/>
            <w:vAlign w:val="center"/>
            <w:hideMark/>
          </w:tcPr>
          <w:p w14:paraId="2A638F2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48767A7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Trezor</w:t>
            </w:r>
            <w:proofErr w:type="spellEnd"/>
          </w:p>
        </w:tc>
      </w:tr>
      <w:tr w:rsidR="007F2E2C" w:rsidRPr="004F7E58" w14:paraId="6AF757B3" w14:textId="77777777" w:rsidTr="004F7E58">
        <w:trPr>
          <w:trHeight w:val="52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0F45A90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7E72DCD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IV.B.b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budžetskih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korisnika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koji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elektronski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povezani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trezorom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178E254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Trezorski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sistem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4337F4A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54B23DF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4FFA0D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DC9505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F1BC7F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7D3F92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A0AD2A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C40C11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99FF"/>
            <w:vAlign w:val="center"/>
            <w:hideMark/>
          </w:tcPr>
          <w:p w14:paraId="5B3D4AF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9714F2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Trezor</w:t>
            </w:r>
            <w:proofErr w:type="spellEnd"/>
          </w:p>
        </w:tc>
      </w:tr>
    </w:tbl>
    <w:p w14:paraId="2DEC4C83" w14:textId="77777777" w:rsidR="007F2E2C" w:rsidRPr="004F7E58" w:rsidRDefault="007F2E2C" w:rsidP="007F2E2C"/>
    <w:tbl>
      <w:tblPr>
        <w:tblW w:w="13828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050"/>
        <w:gridCol w:w="1710"/>
        <w:gridCol w:w="764"/>
        <w:gridCol w:w="824"/>
        <w:gridCol w:w="810"/>
        <w:gridCol w:w="1260"/>
        <w:gridCol w:w="1170"/>
        <w:gridCol w:w="1854"/>
        <w:gridCol w:w="946"/>
      </w:tblGrid>
      <w:tr w:rsidR="007F2E2C" w:rsidRPr="004F7E58" w14:paraId="048E4A37" w14:textId="77777777" w:rsidTr="004F7E58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ED4D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4BD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F9FB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E3DA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07FF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257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AF31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C4BB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723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6D7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08344B7D" w14:textId="77777777" w:rsidTr="004F7E58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1E25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16077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844F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EB1D3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CD6EB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869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66C09E4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5D53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0EE9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D709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7B298148" w14:textId="77777777" w:rsidTr="004F7E58">
        <w:trPr>
          <w:trHeight w:val="255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5940A19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IV.2.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Rješavanje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neizmirenih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obaveza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1F84445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303ED50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57F97C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AEEA18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6FB6C79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521339F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46A320A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B27BF0" w:rsidRPr="004F7E58" w14:paraId="50204171" w14:textId="77777777" w:rsidTr="004F7E58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70279F9" w14:textId="77777777" w:rsidR="00B27BF0" w:rsidRPr="004F7E58" w:rsidRDefault="00B27BF0" w:rsidP="00B27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150E3BC6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5E17C723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3F69FF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D24524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05B31FF8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43DE0ED0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38EB115D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2D05E16C" w14:textId="06FEC1CB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55A5AE65" w14:textId="784710C0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F2E2C" w:rsidRPr="004F7E58" w14:paraId="3DF36A49" w14:textId="77777777" w:rsidTr="004F7E58">
        <w:trPr>
          <w:trHeight w:val="70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0251B1B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131AF45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IV.2.1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Izmjena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obrazca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7 -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Obrazac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neizmirenih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obaveza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CCFFFF" w:fill="FFFFCC"/>
            <w:hideMark/>
          </w:tcPr>
          <w:p w14:paraId="0C1BD4E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IV.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2.A</w:t>
            </w:r>
            <w:proofErr w:type="gram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22C31D4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01.01.2023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3246D63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30.06.2024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62955A1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16AD26B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0BB289C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vAlign w:val="center"/>
            <w:hideMark/>
          </w:tcPr>
          <w:p w14:paraId="5B5C6E9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040B3B6D" w14:textId="14F8E60A" w:rsidR="007F2E2C" w:rsidRPr="004F7E58" w:rsidRDefault="00B27BF0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7F2E2C" w:rsidRPr="004F7E58" w14:paraId="1E08F4B9" w14:textId="77777777" w:rsidTr="004F7E58">
        <w:trPr>
          <w:trHeight w:val="102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3E415A5F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6C34BEE8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IV.2.2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Dokumentovati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stanje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neizmirenih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obaveza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3E8CC6A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IV.2.B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Redovno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izvještavanje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neizmirenim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obavezama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39AE2F5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01.07.2024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6A59FBC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31.12.2024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191E15A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32329A1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5A4F259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vAlign w:val="center"/>
            <w:hideMark/>
          </w:tcPr>
          <w:p w14:paraId="2961467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13D99A81" w14:textId="740CCD9D" w:rsidR="007F2E2C" w:rsidRPr="004F7E58" w:rsidRDefault="00B27BF0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7F2E2C" w:rsidRPr="004F7E58" w14:paraId="3FB0B709" w14:textId="77777777" w:rsidTr="004F7E58">
        <w:trPr>
          <w:trHeight w:val="2010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8A116F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36FB506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IV.2.3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Pružiti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podršku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nižim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fonodvima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postojećim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sprječavanju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akumuliranja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novih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neizmirenih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obaveza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6247981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IV.2.C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Korisnici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smanjuju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neizmirenih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obaveza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(period 2024 – 2025.),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smanjuje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se za 5%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godišnje</w:t>
            </w:r>
            <w:proofErr w:type="spellEnd"/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2980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01.01.2024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B0019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8DF3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32D8C62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4137B43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1108A1B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1330516E" w14:textId="2F25B35E" w:rsidR="007F2E2C" w:rsidRPr="004F7E58" w:rsidRDefault="00B27BF0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7F2E2C" w:rsidRPr="004F7E58" w14:paraId="72F7432A" w14:textId="77777777" w:rsidTr="004F7E58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AB87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2E80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B01C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57FBE2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ADD07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C60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705E4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DE511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C42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31F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0116D37A" w14:textId="77777777" w:rsidTr="004F7E58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A74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525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926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0EC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92D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95A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03DF12A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AC63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0A8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0CB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7BF4F665" w14:textId="77777777" w:rsidTr="004F7E58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BA09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0DE18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9207A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3D7FE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612ED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D69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062EA12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8E20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5163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221B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6AE01ECF" w14:textId="77777777" w:rsidTr="004F7E58">
        <w:trPr>
          <w:trHeight w:val="255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7F9D7D5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IV.3.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gotovinom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57DF88F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359560E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3EB2CE6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CA58C3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6007C9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Trezor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7BB93EB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0CA7EEB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17D9C4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B27BF0" w:rsidRPr="004F7E58" w14:paraId="71F82772" w14:textId="77777777" w:rsidTr="004F7E58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30AEA0E" w14:textId="77777777" w:rsidR="00B27BF0" w:rsidRPr="004F7E58" w:rsidRDefault="00B27BF0" w:rsidP="00B27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44C1E27E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5D1AD995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1A12D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521A5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39C9AA6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089B756F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4EF4DD65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22DE3CC4" w14:textId="45043AE9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42CDF336" w14:textId="7AB742E3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E7BB9" w:rsidRPr="004F7E58" w14:paraId="00A15704" w14:textId="77777777" w:rsidTr="004F7E58">
        <w:trPr>
          <w:trHeight w:val="118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580E2F88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33425CA2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IV.3.1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Azuriranje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/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izrada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/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investiranju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sredstava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13E87FBB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IV.3.A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priliv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kamate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investiranja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nivou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Federacije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5978EA58" w14:textId="4E5FE93F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01.01.2023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0EC321C4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6EF30FFA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7DB8D75D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Trezor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372AFA34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vAlign w:val="center"/>
          </w:tcPr>
          <w:p w14:paraId="06CD7AA1" w14:textId="0FCF58E8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13E62EE2" w14:textId="118398D1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E7BB9" w:rsidRPr="004F7E58" w14:paraId="7E2A480A" w14:textId="77777777" w:rsidTr="004F7E58">
        <w:trPr>
          <w:trHeight w:val="138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4893EFCC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6E63398D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IV.3.2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Usvojiti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implementirati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procedure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pripremanje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projekcija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gotovinskog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toka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ORACLE</w:t>
            </w:r>
          </w:p>
        </w:tc>
        <w:tc>
          <w:tcPr>
            <w:tcW w:w="1710" w:type="dxa"/>
            <w:shd w:val="clear" w:color="CCFFFF" w:fill="FFFFCC"/>
            <w:hideMark/>
          </w:tcPr>
          <w:p w14:paraId="6FA3D6B9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IV,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3,B</w:t>
            </w:r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Upotreba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Uputstva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gotovinom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projekciji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gotovinskog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toka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7B7164D3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01.07.2023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4835E8F7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7371E6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7895302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Trezor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0E642102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vAlign w:val="center"/>
            <w:hideMark/>
          </w:tcPr>
          <w:p w14:paraId="3252F41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3369D557" w14:textId="1C969DE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E7BB9" w:rsidRPr="004F7E58" w14:paraId="6EEAE601" w14:textId="77777777" w:rsidTr="004F7E58">
        <w:trPr>
          <w:trHeight w:val="480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71A94E1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11CE4F49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IV.3.3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zaštite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sredstava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32C46B4D" w14:textId="1F56A22A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IV.3.C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prihoda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diverzifikacija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oročenja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kraći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rok</w:t>
            </w:r>
            <w:proofErr w:type="spellEnd"/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54343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01.07.2021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023675" w14:textId="44130B49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00D87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5D43EAE1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Trezor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119696BA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59212101" w14:textId="271C7A23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66FC0F7C" w14:textId="5A2046C3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E7BB9" w:rsidRPr="004F7E58" w14:paraId="722BACF8" w14:textId="77777777" w:rsidTr="004F7E58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AC06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23F2A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180F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ADBD34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740783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A76E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33EB73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DC4F0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A3FD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1DD1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BB9" w:rsidRPr="004F7E58" w14:paraId="5F7F700A" w14:textId="77777777" w:rsidTr="004F7E58">
        <w:trPr>
          <w:trHeight w:val="28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A254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2A4A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0E16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141E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B09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8E0F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0CBCC34C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CF92D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0086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F1F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BB9" w:rsidRPr="004F7E58" w14:paraId="19190F5B" w14:textId="77777777" w:rsidTr="004F7E58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FA0B45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F358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053F41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5877D5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EF9EA56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DBC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13BF48EC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5D413B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C3074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B9893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BB9" w:rsidRPr="004F7E58" w14:paraId="2645C95A" w14:textId="77777777" w:rsidTr="004F7E58">
        <w:trPr>
          <w:trHeight w:val="255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716EC243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IV.4.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dugom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411F8AFC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7223CF1E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2CDAF7A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7D1C5A6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Dug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15981B1E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07550F04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52DBA02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B27BF0" w:rsidRPr="004F7E58" w14:paraId="35695A60" w14:textId="77777777" w:rsidTr="004F7E58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E4A4761" w14:textId="77777777" w:rsidR="00B27BF0" w:rsidRPr="004F7E58" w:rsidRDefault="00B27BF0" w:rsidP="00B27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62A12B3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5C044BD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DEC6BC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7ADA4A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30150101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30D45F14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5E504254" w14:textId="7777777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480D75F8" w14:textId="0E25D557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477382AF" w14:textId="2809968B" w:rsidR="00B27BF0" w:rsidRPr="004F7E58" w:rsidRDefault="00B27BF0" w:rsidP="00B27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E7BB9" w:rsidRPr="004F7E58" w14:paraId="450A758F" w14:textId="77777777" w:rsidTr="004F7E58">
        <w:trPr>
          <w:trHeight w:val="138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25BCF6CF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5D55262F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IV.4.1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Implementirati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novi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IT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dugom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 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razmotriti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njegovo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kantonalnim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vladama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CCFFFF" w:fill="FFFFCC"/>
            <w:hideMark/>
          </w:tcPr>
          <w:p w14:paraId="26A6C1C0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IT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implementiran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6663B312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01.07.2023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19D9AEF4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F199251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230F18CD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15372F1E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vAlign w:val="center"/>
            <w:hideMark/>
          </w:tcPr>
          <w:p w14:paraId="01173FAF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73F2CF5F" w14:textId="6BF2350B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E7BB9" w:rsidRPr="004F7E58" w14:paraId="38234880" w14:textId="77777777" w:rsidTr="004F7E58">
        <w:trPr>
          <w:trHeight w:val="138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3D4CD2AE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473B2DFC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IV.4.2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Identificirati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implementirati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korake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neophodne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da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osigura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izvještavanje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dugu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sa</w:t>
            </w:r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ESA 2010</w:t>
            </w:r>
          </w:p>
        </w:tc>
        <w:tc>
          <w:tcPr>
            <w:tcW w:w="1710" w:type="dxa"/>
            <w:shd w:val="clear" w:color="CCFFFF" w:fill="FFFFCC"/>
            <w:hideMark/>
          </w:tcPr>
          <w:p w14:paraId="445FEF0B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Početak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vjerodostojnog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izvještavanja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u ESA 2010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formatu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2F62525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01.10.2024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69FC8E51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FF99FF"/>
            <w:noWrap/>
            <w:vAlign w:val="center"/>
            <w:hideMark/>
          </w:tcPr>
          <w:p w14:paraId="18ECAFAA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Da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4B1BD85C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064825D4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vAlign w:val="center"/>
            <w:hideMark/>
          </w:tcPr>
          <w:p w14:paraId="18DFF8C8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6357BE10" w14:textId="470F89D3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E7BB9" w:rsidRPr="004F7E58" w14:paraId="47666B8B" w14:textId="77777777" w:rsidTr="004F7E58">
        <w:trPr>
          <w:trHeight w:val="1185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CA1246D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0CFF3FD8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IV.4.3 Druga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poboljšanja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procesa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dugom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3740F791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Garancije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izdaju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nakon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procjene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rizika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novim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pravilima</w:t>
            </w:r>
            <w:proofErr w:type="spellEnd"/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66550F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01.01.2023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DA030E" w14:textId="607DDDFD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C964B0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B40B6C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0E27183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Dug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0CD796C6" w14:textId="07885710" w:rsidR="007E7BB9" w:rsidRPr="004F7E58" w:rsidRDefault="00C964B0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2023. za GAP 2024)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45BFD949" w14:textId="4870447A" w:rsidR="007E7BB9" w:rsidRPr="004F7E58" w:rsidRDefault="00C964B0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Pomjeren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rok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pošto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tehnička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podrška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počinje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tek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tokom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2024.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g</w:t>
            </w: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odine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nastavlja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2025.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6BFF9790" w14:textId="6215B9CA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E7BB9" w:rsidRPr="004F7E58" w14:paraId="4467C2FC" w14:textId="77777777" w:rsidTr="004F7E58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93A1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4630C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C23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9F7F63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0E6D6C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A53A8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F812D3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F6E46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F870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B80E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BB9" w:rsidRPr="004F7E58" w14:paraId="14FD0C40" w14:textId="77777777" w:rsidTr="004F7E58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057A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018D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24BC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2814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2A56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D906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55155BFF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34E8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8379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6E9C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BB9" w:rsidRPr="004F7E58" w14:paraId="5F66D989" w14:textId="77777777" w:rsidTr="004F7E58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BA1DB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D27A7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6E404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56700E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159F2E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763C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4C2CC36C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1E817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19CBD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6C52A" w14:textId="77777777" w:rsidR="007E7BB9" w:rsidRPr="004F7E58" w:rsidRDefault="007E7BB9" w:rsidP="007E7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BB9" w:rsidRPr="004F7E58" w14:paraId="3D40F5A5" w14:textId="77777777" w:rsidTr="004F7E58">
        <w:trPr>
          <w:trHeight w:val="255"/>
        </w:trPr>
        <w:tc>
          <w:tcPr>
            <w:tcW w:w="8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7B45196" w14:textId="77777777" w:rsidR="007E7BB9" w:rsidRPr="004F7E58" w:rsidRDefault="007E7BB9" w:rsidP="007E7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IV.5.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Računovodstvo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finansijsko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izvještavanje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BAAA1CA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Trezor</w:t>
            </w:r>
            <w:proofErr w:type="spellEnd"/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</w:tcPr>
          <w:p w14:paraId="4C0D81FF" w14:textId="77777777" w:rsidR="007E7BB9" w:rsidRPr="004F7E58" w:rsidRDefault="007E7BB9" w:rsidP="007E7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</w:p>
        </w:tc>
      </w:tr>
      <w:tr w:rsidR="00876823" w:rsidRPr="004F7E58" w14:paraId="7C993F13" w14:textId="77777777" w:rsidTr="004F7E58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001C84E6" w14:textId="77777777" w:rsidR="00876823" w:rsidRPr="004F7E58" w:rsidRDefault="00876823" w:rsidP="00876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612329BE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1D055517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09E06E7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7BCAEB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1D249515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1F77F5E9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5821B6B9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206BB133" w14:textId="3D3BDC5F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5E79AAC5" w14:textId="7C13D31F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C964B0" w:rsidRPr="004F7E58" w14:paraId="6C5DE260" w14:textId="77777777" w:rsidTr="004F7E58">
        <w:trPr>
          <w:trHeight w:val="52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1E15B13E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413D5C62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IV.5.1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MRS JS u FBIH</w:t>
            </w:r>
          </w:p>
        </w:tc>
        <w:tc>
          <w:tcPr>
            <w:tcW w:w="1710" w:type="dxa"/>
            <w:shd w:val="clear" w:color="CCFFFF" w:fill="FFFFCC"/>
            <w:hideMark/>
          </w:tcPr>
          <w:p w14:paraId="6A0DF2AA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FMF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usvaja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implementira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Mapu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puta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34236682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01.10.2024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4D2061A4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6E4EB74D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5CDB064C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Trezor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598D7F3A" w14:textId="446072AD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2022. za GAP 2023)</w:t>
            </w:r>
          </w:p>
        </w:tc>
        <w:tc>
          <w:tcPr>
            <w:tcW w:w="1854" w:type="dxa"/>
            <w:vAlign w:val="center"/>
          </w:tcPr>
          <w:p w14:paraId="2456CA4F" w14:textId="4D2A50E9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309C044E" w14:textId="4D0D8A1D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C964B0" w:rsidRPr="004F7E58" w14:paraId="01B821FF" w14:textId="77777777" w:rsidTr="004F7E58">
        <w:trPr>
          <w:trHeight w:val="3660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68C265FF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04CFE1D9" w14:textId="66A06A72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IV.5.2 </w:t>
            </w:r>
            <w:proofErr w:type="spellStart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Konsolidacija</w:t>
            </w:r>
            <w:proofErr w:type="spellEnd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sredstava</w:t>
            </w:r>
            <w:proofErr w:type="spellEnd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Jedinstevnom</w:t>
            </w:r>
            <w:proofErr w:type="spellEnd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računu</w:t>
            </w:r>
            <w:proofErr w:type="spellEnd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="000F3CC4"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trezora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3617FF20" w14:textId="362EE1C2" w:rsidR="00C964B0" w:rsidRPr="004F7E58" w:rsidRDefault="000F3CC4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Zatvaranje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posebnih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transakcijskih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namjenskih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računa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koji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nisu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okviru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JRT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-a FBiH</w:t>
            </w:r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51A3386E" w14:textId="37056895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0F3CC4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7DB8AA93" w14:textId="3B2FDB5E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  <w:r w:rsidR="000F3CC4" w:rsidRPr="004F7E58">
              <w:rPr>
                <w:rFonts w:ascii="Calibri" w:eastAsia="Times New Roman" w:hAnsi="Calibri" w:cs="Calibri"/>
                <w:sz w:val="12"/>
                <w:szCs w:val="12"/>
              </w:rPr>
              <w:t>1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</w:t>
            </w:r>
            <w:r w:rsidR="000F3CC4" w:rsidRPr="004F7E58">
              <w:rPr>
                <w:rFonts w:ascii="Calibri" w:eastAsia="Times New Roman" w:hAnsi="Calibri" w:cs="Calibri"/>
                <w:sz w:val="12"/>
                <w:szCs w:val="12"/>
              </w:rPr>
              <w:t>12</w:t>
            </w: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.202</w:t>
            </w:r>
            <w:r w:rsidR="00876823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074C8B5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0B44929C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Trezor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60B92FC1" w14:textId="49FDD615" w:rsidR="00C964B0" w:rsidRPr="004F7E58" w:rsidRDefault="000F3CC4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2023. za GAP 2024)</w:t>
            </w:r>
          </w:p>
        </w:tc>
        <w:tc>
          <w:tcPr>
            <w:tcW w:w="1854" w:type="dxa"/>
            <w:vAlign w:val="center"/>
            <w:hideMark/>
          </w:tcPr>
          <w:p w14:paraId="7C9B4331" w14:textId="77777777" w:rsidR="00C964B0" w:rsidRPr="004F7E58" w:rsidRDefault="000F3CC4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Ured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FBIH je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dao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preporuku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da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računi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otvoreni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izvan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JRT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moraju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zatvoriti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uvedena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je nova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kroz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koju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prati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preporuke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</w:p>
          <w:p w14:paraId="6B6DAA48" w14:textId="77777777" w:rsidR="00876823" w:rsidRPr="004F7E58" w:rsidRDefault="00876823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3B69EB16" w14:textId="63F2207E" w:rsidR="00876823" w:rsidRPr="004F7E58" w:rsidRDefault="00876823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Nastavlja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u 2025.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</w:p>
        </w:tc>
        <w:tc>
          <w:tcPr>
            <w:tcW w:w="946" w:type="dxa"/>
            <w:vAlign w:val="center"/>
            <w:hideMark/>
          </w:tcPr>
          <w:p w14:paraId="696C7B03" w14:textId="5B8F54E9" w:rsidR="00C964B0" w:rsidRPr="004F7E58" w:rsidRDefault="000F3CC4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C964B0" w:rsidRPr="004F7E58" w14:paraId="7AB9483E" w14:textId="77777777" w:rsidTr="004F7E58">
        <w:trPr>
          <w:trHeight w:val="184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0FFCE970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74943133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IV.5.3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transparentnosti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korištenja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sredstava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dobitnici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grantova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transfera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)</w:t>
            </w:r>
          </w:p>
        </w:tc>
        <w:tc>
          <w:tcPr>
            <w:tcW w:w="1710" w:type="dxa"/>
            <w:shd w:val="clear" w:color="CCFFFF" w:fill="FFFFCC"/>
            <w:hideMark/>
          </w:tcPr>
          <w:p w14:paraId="74305541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Podaci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dodijeljenim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sredstava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dobitnicima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grantova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transfera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)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objavljeni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web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stranici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dostupni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7D4395D2" w14:textId="7E3BE01B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0F3CC4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24D79932" w14:textId="6686C225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0F3CC4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7E1CC909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31594F1D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Trezor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4A3CD44A" w14:textId="54031CB8" w:rsidR="00C964B0" w:rsidRPr="004F7E58" w:rsidRDefault="000F3CC4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2023. za GAP 2024)</w:t>
            </w:r>
          </w:p>
        </w:tc>
        <w:tc>
          <w:tcPr>
            <w:tcW w:w="1854" w:type="dxa"/>
            <w:vAlign w:val="center"/>
            <w:hideMark/>
          </w:tcPr>
          <w:p w14:paraId="1AA90309" w14:textId="44A9EF21" w:rsidR="00C964B0" w:rsidRPr="004F7E58" w:rsidRDefault="000F3CC4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Preduslov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implementaciju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ove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dodatna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sredstva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FMF je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prioritiziralo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traženje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donatorskih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sredstava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druge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projekte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ova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odgađa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do 2025,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ili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dok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ne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nađu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dodatna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donatorska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sredstva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</w:p>
        </w:tc>
        <w:tc>
          <w:tcPr>
            <w:tcW w:w="946" w:type="dxa"/>
            <w:vAlign w:val="center"/>
            <w:hideMark/>
          </w:tcPr>
          <w:p w14:paraId="60E6362D" w14:textId="4168E4CD" w:rsidR="00C964B0" w:rsidRPr="004F7E58" w:rsidRDefault="00876823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C964B0" w:rsidRPr="004F7E58" w14:paraId="441AA253" w14:textId="77777777" w:rsidTr="004F7E58">
        <w:trPr>
          <w:trHeight w:val="1020"/>
        </w:trPr>
        <w:tc>
          <w:tcPr>
            <w:tcW w:w="44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11561F1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1C5B384A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IV.5.4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Informatizacija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kvartalnog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izvještavanja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728B2B46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FBiH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Kvartalni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izvještaji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brže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sastavljaju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objavljuju</w:t>
            </w:r>
            <w:proofErr w:type="spellEnd"/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805B4" w14:textId="130C287D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</w:t>
            </w:r>
            <w:r w:rsidR="00CC3B21" w:rsidRPr="004F7E58">
              <w:rPr>
                <w:rFonts w:ascii="Calibri" w:eastAsia="Times New Roman" w:hAnsi="Calibri" w:cs="Calibri"/>
                <w:sz w:val="12"/>
                <w:szCs w:val="12"/>
              </w:rPr>
              <w:t>3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FAC2C" w14:textId="6AC8B64D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</w:t>
            </w:r>
            <w:r w:rsidR="00876823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0CEF65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3B48E69C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76C3BE51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4E692CD9" w14:textId="7EAE9929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Nastavlja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tražiti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podrška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donatora</w:t>
            </w:r>
            <w:proofErr w:type="spellEnd"/>
            <w:r w:rsidR="00876823" w:rsidRPr="004F7E58">
              <w:rPr>
                <w:rFonts w:ascii="Calibri" w:eastAsia="Times New Roman" w:hAnsi="Calibri" w:cs="Calibri"/>
                <w:sz w:val="14"/>
                <w:szCs w:val="14"/>
              </w:rPr>
              <w:t>.</w:t>
            </w:r>
          </w:p>
        </w:tc>
        <w:tc>
          <w:tcPr>
            <w:tcW w:w="946" w:type="dxa"/>
            <w:vAlign w:val="center"/>
            <w:hideMark/>
          </w:tcPr>
          <w:p w14:paraId="33EA71C0" w14:textId="3F734E9D" w:rsidR="00C964B0" w:rsidRPr="004F7E58" w:rsidRDefault="000F3CC4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C964B0" w:rsidRPr="004F7E58" w14:paraId="56765260" w14:textId="77777777" w:rsidTr="004F7E58">
        <w:trPr>
          <w:trHeight w:val="162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2203F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717FE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D2E931" w14:textId="670D6703" w:rsidR="00F12895" w:rsidRPr="004F7E58" w:rsidRDefault="00F12895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35C592" w14:textId="11E91F99" w:rsidR="00714A06" w:rsidRPr="004F7E58" w:rsidRDefault="00714A06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6DF4D8" w14:textId="77777777" w:rsidR="00714A06" w:rsidRPr="004F7E58" w:rsidRDefault="00714A06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0352E6" w14:textId="77777777" w:rsidR="00F12895" w:rsidRPr="004F7E58" w:rsidRDefault="00F12895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63A445" w14:textId="77777777" w:rsidR="00F12895" w:rsidRPr="004F7E58" w:rsidRDefault="00F12895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905B06" w14:textId="77777777" w:rsidR="00F12895" w:rsidRPr="004F7E58" w:rsidRDefault="00F12895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2BDF6A" w14:textId="6EA1BB03" w:rsidR="00F12895" w:rsidRPr="004F7E58" w:rsidRDefault="00F12895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6A6C6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FD8B56C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7B4D29D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0BDE9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824432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7F26F9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258E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7F3F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64B0" w:rsidRPr="004F7E58" w14:paraId="7EF36CBF" w14:textId="77777777" w:rsidTr="004F7E58">
        <w:trPr>
          <w:trHeight w:val="16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1973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0BD2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563A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A7F0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9D38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5C77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24310318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07C9A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D200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0A5C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64B0" w:rsidRPr="004F7E58" w14:paraId="19B38D7D" w14:textId="77777777" w:rsidTr="004F7E58">
        <w:trPr>
          <w:trHeight w:val="450"/>
        </w:trPr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9FC901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EF21AD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BBC6B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A83527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D0C02AB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2A5F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76994697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360504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B5587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CE53F" w14:textId="77777777" w:rsidR="00C964B0" w:rsidRPr="004F7E58" w:rsidRDefault="00C964B0" w:rsidP="00C9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64B0" w:rsidRPr="004F7E58" w14:paraId="05355B1E" w14:textId="77777777" w:rsidTr="004F7E58">
        <w:trPr>
          <w:trHeight w:val="255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1847A198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IV.6.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IT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sistema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trezora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0F0F0C01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4F4C364A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9CB8A01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507A0907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Trezor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74B92203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7D5AD070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1FFB4290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876823" w:rsidRPr="004F7E58" w14:paraId="4F505673" w14:textId="77777777" w:rsidTr="004F7E58">
        <w:trPr>
          <w:trHeight w:val="555"/>
        </w:trPr>
        <w:tc>
          <w:tcPr>
            <w:tcW w:w="440" w:type="dxa"/>
            <w:tcBorders>
              <w:top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6AF54857" w14:textId="77777777" w:rsidR="00876823" w:rsidRPr="004F7E58" w:rsidRDefault="00876823" w:rsidP="00876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  <w:hideMark/>
          </w:tcPr>
          <w:p w14:paraId="5EE52585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17DD3929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E68535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90F547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  <w:hideMark/>
          </w:tcPr>
          <w:p w14:paraId="1E1E9962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16EF105B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6C533F09" w14:textId="77777777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  <w:hideMark/>
          </w:tcPr>
          <w:p w14:paraId="50A61D27" w14:textId="45632FBE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0FB935C4" w14:textId="7B9D92C0" w:rsidR="00876823" w:rsidRPr="004F7E58" w:rsidRDefault="00876823" w:rsidP="008768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C964B0" w:rsidRPr="004F7E58" w14:paraId="1095A98A" w14:textId="77777777" w:rsidTr="004F7E58">
        <w:trPr>
          <w:trHeight w:val="1515"/>
        </w:trPr>
        <w:tc>
          <w:tcPr>
            <w:tcW w:w="440" w:type="dxa"/>
            <w:shd w:val="clear" w:color="CCFFFF" w:fill="F2F2F2"/>
            <w:noWrap/>
            <w:vAlign w:val="center"/>
            <w:hideMark/>
          </w:tcPr>
          <w:p w14:paraId="56DA59AD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11AF21AF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IV.6.2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Uspostaviti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mehanizam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kontinuirano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ažuriranje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trezorske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aplikacije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/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programa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/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sistema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CCFFFF" w:fill="FFFFCC"/>
            <w:hideMark/>
          </w:tcPr>
          <w:p w14:paraId="06ABF644" w14:textId="77777777" w:rsidR="00C964B0" w:rsidRPr="004F7E58" w:rsidRDefault="00C964B0" w:rsidP="00C964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Izrada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usvajanje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politika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nadogradnju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sistema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redovno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kvartalno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ažuriranje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aplikacije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0E135151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16235643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64B106E7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7662BF74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Trezor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4557C8CA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854" w:type="dxa"/>
            <w:vAlign w:val="center"/>
            <w:hideMark/>
          </w:tcPr>
          <w:p w14:paraId="53BECCC4" w14:textId="7777777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59C25DCF" w14:textId="098B2E67" w:rsidR="00C964B0" w:rsidRPr="004F7E58" w:rsidRDefault="00C964B0" w:rsidP="00C964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</w:tbl>
    <w:p w14:paraId="5895D6B8" w14:textId="77777777" w:rsidR="007F2E2C" w:rsidRPr="004F7E58" w:rsidRDefault="007F2E2C" w:rsidP="007F2E2C"/>
    <w:p w14:paraId="075B248B" w14:textId="77777777" w:rsidR="007F2E2C" w:rsidRPr="004F7E58" w:rsidRDefault="007F2E2C" w:rsidP="007F2E2C"/>
    <w:p w14:paraId="4E9597DA" w14:textId="77777777" w:rsidR="007F2E2C" w:rsidRPr="004F7E58" w:rsidRDefault="007F2E2C" w:rsidP="007F2E2C">
      <w:r w:rsidRPr="004F7E58">
        <w:br w:type="page"/>
      </w:r>
    </w:p>
    <w:p w14:paraId="5BEF583E" w14:textId="77777777" w:rsidR="007F2E2C" w:rsidRPr="004F7E58" w:rsidRDefault="007F2E2C" w:rsidP="007F2E2C"/>
    <w:tbl>
      <w:tblPr>
        <w:tblW w:w="13147" w:type="dxa"/>
        <w:tblInd w:w="173" w:type="dxa"/>
        <w:tblLook w:val="04A0" w:firstRow="1" w:lastRow="0" w:firstColumn="1" w:lastColumn="0" w:noHBand="0" w:noVBand="1"/>
      </w:tblPr>
      <w:tblGrid>
        <w:gridCol w:w="1020"/>
        <w:gridCol w:w="1760"/>
        <w:gridCol w:w="1698"/>
        <w:gridCol w:w="820"/>
        <w:gridCol w:w="361"/>
        <w:gridCol w:w="863"/>
        <w:gridCol w:w="986"/>
        <w:gridCol w:w="803"/>
        <w:gridCol w:w="803"/>
        <w:gridCol w:w="803"/>
        <w:gridCol w:w="982"/>
        <w:gridCol w:w="892"/>
        <w:gridCol w:w="1522"/>
      </w:tblGrid>
      <w:tr w:rsidR="007F2E2C" w:rsidRPr="004F7E58" w14:paraId="0FC36507" w14:textId="77777777" w:rsidTr="00DC7F97">
        <w:trPr>
          <w:trHeight w:val="5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9186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945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8EB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D6A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4B1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A91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952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671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7FA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10E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C6A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EDF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00000"/>
            <w:vAlign w:val="center"/>
            <w:hideMark/>
          </w:tcPr>
          <w:p w14:paraId="2D256C9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br/>
              <w:t>stupa</w:t>
            </w:r>
          </w:p>
        </w:tc>
      </w:tr>
      <w:tr w:rsidR="007F2E2C" w:rsidRPr="004F7E58" w14:paraId="69CF9172" w14:textId="77777777" w:rsidTr="00DC7F97">
        <w:trPr>
          <w:trHeight w:val="525"/>
        </w:trPr>
        <w:tc>
          <w:tcPr>
            <w:tcW w:w="8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607804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STUP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:  V.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UNUTARNJA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KONTROLA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78D2041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2BF45C7F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88D422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3E2F15E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2F68FD7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CHJ</w:t>
            </w:r>
            <w:proofErr w:type="spellEnd"/>
          </w:p>
        </w:tc>
      </w:tr>
      <w:tr w:rsidR="007F2E2C" w:rsidRPr="004F7E58" w14:paraId="479A9848" w14:textId="77777777" w:rsidTr="00DC7F97">
        <w:trPr>
          <w:trHeight w:val="7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BA17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stupa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723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50E2D4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podataka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verifikaciju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EAFF1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47EA9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A4B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Polazna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854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2021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BC03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2022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075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2023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5F91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ADD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A81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Indikator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strategiji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UJF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130B0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Izvjestitelj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vrijednosti</w:t>
            </w:r>
            <w:proofErr w:type="spellEnd"/>
          </w:p>
        </w:tc>
      </w:tr>
      <w:tr w:rsidR="007F2E2C" w:rsidRPr="004F7E58" w14:paraId="1B4DE54C" w14:textId="77777777" w:rsidTr="004F7E58">
        <w:trPr>
          <w:trHeight w:val="1680"/>
        </w:trPr>
        <w:tc>
          <w:tcPr>
            <w:tcW w:w="1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DDEBF7"/>
            <w:hideMark/>
          </w:tcPr>
          <w:p w14:paraId="10D0D78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V.A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Unaprijeđeno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rizicima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ključnim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procesima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kroz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finansijskog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kontrole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36E81F1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V.A.a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Ažurirane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Smjernice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rizicima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01FCB9A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Centralna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harmonizacijska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jedinica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576AF36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3D0908BF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1EA14CB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Važeće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Smjernice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koje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potrebno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prilagoditi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D08232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Nove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ažurirane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Smjernice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C3A5F5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6699A2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C4C81F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0E21F35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780FC9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3A66F83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CHJ</w:t>
            </w:r>
            <w:proofErr w:type="spellEnd"/>
          </w:p>
        </w:tc>
      </w:tr>
      <w:tr w:rsidR="007F2E2C" w:rsidRPr="004F7E58" w14:paraId="4A778198" w14:textId="77777777" w:rsidTr="004F7E58">
        <w:trPr>
          <w:trHeight w:val="36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166263B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5798F5F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V.A.b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Informatizovani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unaprijeđeni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registri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rizika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222005C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Centralna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harmonizacijska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jedinica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418B6ED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1D2871D2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33A349D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Registri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rizika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pisanoj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formi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1A54EB6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Informatizovani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registri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rizika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6D721D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639E5A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362C52D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D73092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131F69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14CE53F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CHJ</w:t>
            </w:r>
            <w:proofErr w:type="spellEnd"/>
          </w:p>
        </w:tc>
      </w:tr>
      <w:tr w:rsidR="007F2E2C" w:rsidRPr="004F7E58" w14:paraId="48B5E15C" w14:textId="77777777" w:rsidTr="004F7E58">
        <w:trPr>
          <w:trHeight w:val="217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65B388C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V.B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Interna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usklađena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međunarodnim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standardima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osigurava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dodatnu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poslovanju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subjekata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javnog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sektora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3392E4A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V.B.a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provedenih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internih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područjima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visokog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finansijski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značajnih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stavki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budžeta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/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finansijskog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plana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2559C00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Centralna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harmonizacijska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jedinica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7F2836E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4CE8FB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36C0CA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interne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nisu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dovoljno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usmjerene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rizična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područja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32E9D8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internih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rizičnih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područja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5%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E5E916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internih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rizičnih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područja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CFDB15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internih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rizičnih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područja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5%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B89B0B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internih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rizičnih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područja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5%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C4D79A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povećanje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internih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rizičnih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područja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5%</w:t>
            </w:r>
          </w:p>
        </w:tc>
        <w:tc>
          <w:tcPr>
            <w:tcW w:w="8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99FF"/>
            <w:vAlign w:val="center"/>
            <w:hideMark/>
          </w:tcPr>
          <w:p w14:paraId="4341E53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5202990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CHJ</w:t>
            </w:r>
            <w:proofErr w:type="spellEnd"/>
          </w:p>
        </w:tc>
      </w:tr>
      <w:tr w:rsidR="007F2E2C" w:rsidRPr="004F7E58" w14:paraId="2AC34FD9" w14:textId="77777777" w:rsidTr="004F7E58">
        <w:trPr>
          <w:trHeight w:val="2505"/>
        </w:trPr>
        <w:tc>
          <w:tcPr>
            <w:tcW w:w="1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DDEBF7"/>
            <w:hideMark/>
          </w:tcPr>
          <w:p w14:paraId="0493604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V.C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Dostupan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ažuran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pregled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stanja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javnih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internih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finansijskih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kontrola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godišnjim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preporukama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zaključcima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Vijeću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ministara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BiH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poboljšanju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4E0BC0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V.C.a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Izrađena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metodologije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pregled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kvaliteta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FUK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javnom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sektoru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FBiH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5C99987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Centralna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harmonizacijska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jedinica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0B7B74E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1A40DA6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507470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u</w:t>
            </w:r>
            <w:proofErr w:type="gram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FBiH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postoji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metodologija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pregled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kvalitete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FUK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33CDEC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realizovana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100%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113BBFE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C3DD69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B5D1D6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2E3D5F5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037E860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7E8D86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CHJ</w:t>
            </w:r>
            <w:proofErr w:type="spellEnd"/>
          </w:p>
        </w:tc>
      </w:tr>
      <w:tr w:rsidR="007F2E2C" w:rsidRPr="004F7E58" w14:paraId="6677E8F9" w14:textId="77777777" w:rsidTr="004F7E58">
        <w:trPr>
          <w:trHeight w:val="102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1DAFC8B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691729A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V.C.b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Izrađena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metodologije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provjeru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kvalitete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rada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interne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javnom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sektoru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FBiH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38A4C3C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Centralna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harmonizacijska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jedinica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23F69AC8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69CB21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0467EDA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u</w:t>
            </w:r>
            <w:proofErr w:type="gram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FBiH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postoji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metodologija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pregled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kvalitete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 xml:space="preserve"> rada interne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  <w:lang w:val="fr-FR"/>
              </w:rPr>
              <w:t>revizije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213D67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realizovana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100%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E18383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3230DE9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17D8D7A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4D6A28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925BBA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79BFE4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CHJ</w:t>
            </w:r>
            <w:proofErr w:type="spellEnd"/>
          </w:p>
        </w:tc>
      </w:tr>
    </w:tbl>
    <w:p w14:paraId="21319537" w14:textId="77777777" w:rsidR="007F2E2C" w:rsidRPr="004F7E58" w:rsidRDefault="007F2E2C" w:rsidP="007F2E2C"/>
    <w:p w14:paraId="06362305" w14:textId="77777777" w:rsidR="007F2E2C" w:rsidRPr="004F7E58" w:rsidRDefault="007F2E2C" w:rsidP="007F2E2C"/>
    <w:tbl>
      <w:tblPr>
        <w:tblW w:w="13672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050"/>
        <w:gridCol w:w="1710"/>
        <w:gridCol w:w="764"/>
        <w:gridCol w:w="824"/>
        <w:gridCol w:w="810"/>
        <w:gridCol w:w="1260"/>
        <w:gridCol w:w="1170"/>
        <w:gridCol w:w="1718"/>
        <w:gridCol w:w="946"/>
      </w:tblGrid>
      <w:tr w:rsidR="007F2E2C" w:rsidRPr="004F7E58" w14:paraId="26235087" w14:textId="77777777" w:rsidTr="009D2183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A279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DD59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73CB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E05FC4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C6B9A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CC7C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501A140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E795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154D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1C22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48036AE4" w14:textId="77777777" w:rsidTr="009D2183">
        <w:trPr>
          <w:trHeight w:val="255"/>
        </w:trPr>
        <w:tc>
          <w:tcPr>
            <w:tcW w:w="8578" w:type="dxa"/>
            <w:gridSpan w:val="6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3D5218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V.1.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Unaprijeđenje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upravljačke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odgovornosti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upravljanja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rizicima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ključnim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procesima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kroz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finansijskog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kontrole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1273699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CHJ</w:t>
            </w:r>
            <w:proofErr w:type="spellEnd"/>
          </w:p>
        </w:tc>
        <w:tc>
          <w:tcPr>
            <w:tcW w:w="3834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0A6BF3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9D2183" w:rsidRPr="004F7E58" w14:paraId="6D8D1F3C" w14:textId="77777777" w:rsidTr="009D2183">
        <w:trPr>
          <w:trHeight w:val="555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46287DAD" w14:textId="77777777" w:rsidR="009D2183" w:rsidRPr="004F7E58" w:rsidRDefault="009D2183" w:rsidP="009D2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1A6A2F51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76A5E541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14:paraId="5558DC9B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noWrap/>
            <w:vAlign w:val="center"/>
            <w:hideMark/>
          </w:tcPr>
          <w:p w14:paraId="4D141906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vAlign w:val="center"/>
            <w:hideMark/>
          </w:tcPr>
          <w:p w14:paraId="1710D88B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7C500C68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25F8EFAA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  <w:hideMark/>
          </w:tcPr>
          <w:p w14:paraId="5A0F063A" w14:textId="62D46426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0D6EC520" w14:textId="6B98979E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F2E2C" w:rsidRPr="004F7E58" w14:paraId="50F71F32" w14:textId="77777777" w:rsidTr="009D2183">
        <w:trPr>
          <w:trHeight w:val="1380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59F42CF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076EF13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V.1.1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kontrole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usmjerene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rizike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vezane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pouzdano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prihodima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rashodima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imovinom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obavezama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4628251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V.1.A 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Unaprijeđene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kontrole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upravljanju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prihodima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rashodima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imovinom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obavezama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; </w:t>
            </w:r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0D22DA7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01.10.2020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0D23C02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F9059F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4FD8F80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51AF27F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479BF96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45BBCEBE" w14:textId="3B7FD107" w:rsidR="007F2E2C" w:rsidRPr="004F7E58" w:rsidRDefault="00A838D2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30AEC130" w14:textId="77777777" w:rsidTr="009D2183">
        <w:trPr>
          <w:trHeight w:val="1380"/>
        </w:trPr>
        <w:tc>
          <w:tcPr>
            <w:tcW w:w="420" w:type="dxa"/>
            <w:shd w:val="clear" w:color="CCFFFF" w:fill="F2F2F2"/>
            <w:noWrap/>
            <w:vAlign w:val="center"/>
          </w:tcPr>
          <w:p w14:paraId="43163FDC" w14:textId="2BE00E8A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479CA2B4" w14:textId="7E584FB4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V.1.2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kontrole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usmjerene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rizike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srednjoročno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planiranje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programsko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budžetiranje</w:t>
            </w:r>
            <w:proofErr w:type="spellEnd"/>
          </w:p>
        </w:tc>
        <w:tc>
          <w:tcPr>
            <w:tcW w:w="1710" w:type="dxa"/>
            <w:shd w:val="clear" w:color="CCFFFF" w:fill="FFFFCC"/>
          </w:tcPr>
          <w:p w14:paraId="5F1AADAD" w14:textId="727900BA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V.1.C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Unaprijeđene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kontrole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višegodišnje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programsko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planiranje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ciljeve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rezultate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D85C155" w14:textId="3D2873C0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hAnsi="Calibri" w:cs="Calibri"/>
                <w:sz w:val="12"/>
                <w:szCs w:val="12"/>
              </w:rPr>
              <w:t>01.01.2023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F569A8B" w14:textId="53ED6158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</w:tcPr>
          <w:p w14:paraId="287396F9" w14:textId="3CFB9CBA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</w:tcPr>
          <w:p w14:paraId="75738514" w14:textId="0DD1EAE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</w:tcPr>
          <w:p w14:paraId="6BC53A10" w14:textId="10BCD3EC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</w:tcPr>
          <w:p w14:paraId="085163F0" w14:textId="163F4B1F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</w:tcPr>
          <w:p w14:paraId="6CB84A1B" w14:textId="3A7668A8" w:rsidR="006B0620" w:rsidRPr="004F7E58" w:rsidDel="00A838D2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44B2185E" w14:textId="77777777" w:rsidTr="009D2183">
        <w:trPr>
          <w:trHeight w:val="1380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3374A8A4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1D766F80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V.1.3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kontrole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usmjerene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rizike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vezane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efikasnost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poslovnih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procesa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organizacija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sektora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63A045C2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V.1.D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Brže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dostupnije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transparentnije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usluge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zadovoljstvo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korisnika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16A10F87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3BDD5EAC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3685C1E7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446C977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14FB237F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018D7743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2B24FAB1" w14:textId="3182C872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1E7B319F" w14:textId="77777777" w:rsidTr="009D2183">
        <w:trPr>
          <w:trHeight w:val="2340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7F5D98BC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44B970DD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V.1.4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Ojačavanje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upravljačke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odgovornost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ciljeve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rezultate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192B9ED6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V.1.E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Rukovodioci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nivoima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imaju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zaduženja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resurse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neophodni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stepen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autonomije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ostvarivanju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ciljeva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organizacije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3979355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79FFE38E" w14:textId="78D30F0D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</w:t>
            </w:r>
            <w:r w:rsidR="009D2183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68C9AB1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1BB51F12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0E75B23C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54436038" w14:textId="6ADE2D84" w:rsidR="006B0620" w:rsidRPr="004F7E58" w:rsidRDefault="009D2183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Bila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produžena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do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kraja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2024.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godine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03F84A6C" w14:textId="17A07D32" w:rsidR="006B0620" w:rsidRPr="004F7E58" w:rsidRDefault="009D2183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6B0620" w:rsidRPr="004F7E58" w14:paraId="2FC3C26C" w14:textId="77777777" w:rsidTr="009D2183">
        <w:trPr>
          <w:trHeight w:val="162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B91B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0547C08C" w14:textId="77777777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51B04866" w14:textId="77777777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24C7250D" w14:textId="77777777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20F3ABF5" w14:textId="77777777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2BA9C1FF" w14:textId="77777777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27312847" w14:textId="77777777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53065B71" w14:textId="77777777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  <w:p w14:paraId="28BD440F" w14:textId="23E2E8B6" w:rsidR="00F12895" w:rsidRPr="004F7E58" w:rsidRDefault="00F12895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8AB31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C7C67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3D29CD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7961A9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4F1D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790DAC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5779D" w14:textId="77777777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4DDCA3" w14:textId="77777777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6AAB7" w14:textId="77777777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0B3BD" w14:textId="77777777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3102C" w14:textId="77777777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42050C" w14:textId="77777777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3869B3" w14:textId="77777777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7BC048" w14:textId="06C87B8C" w:rsidR="00714A06" w:rsidRPr="004F7E58" w:rsidRDefault="00714A06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8C8590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C560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A21B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03767916" w14:textId="77777777" w:rsidTr="009D2183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67032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E22B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34158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EAFE0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DF539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5652D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671E2D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D9257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0652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5526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7EEDE6DD" w14:textId="77777777" w:rsidTr="009D2183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FF224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95546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9448E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27EB87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83821F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9E33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2078FA8C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30959D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8902F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04758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062F7E84" w14:textId="77777777" w:rsidTr="009D2183">
        <w:trPr>
          <w:trHeight w:val="255"/>
        </w:trPr>
        <w:tc>
          <w:tcPr>
            <w:tcW w:w="8578" w:type="dxa"/>
            <w:gridSpan w:val="6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07BE9BB5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V.2.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Unaprijeđena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operativna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funkcija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kojom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se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ostvaruje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dodatna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vrijednost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6682620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CHJ</w:t>
            </w:r>
            <w:proofErr w:type="spellEnd"/>
          </w:p>
        </w:tc>
        <w:tc>
          <w:tcPr>
            <w:tcW w:w="3834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548B7C61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9D2183" w:rsidRPr="004F7E58" w14:paraId="000FFAC1" w14:textId="77777777" w:rsidTr="009D2183">
        <w:trPr>
          <w:trHeight w:val="555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6715494B" w14:textId="77777777" w:rsidR="009D2183" w:rsidRPr="004F7E58" w:rsidRDefault="009D2183" w:rsidP="009D2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36A9BD0E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28C690C3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14:paraId="64AC580A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noWrap/>
            <w:vAlign w:val="center"/>
            <w:hideMark/>
          </w:tcPr>
          <w:p w14:paraId="42BA513F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vAlign w:val="center"/>
            <w:hideMark/>
          </w:tcPr>
          <w:p w14:paraId="00CBC105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23B89C35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7C4D6A5A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  <w:hideMark/>
          </w:tcPr>
          <w:p w14:paraId="40F606E1" w14:textId="4FC6244D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3972B17E" w14:textId="36125552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D07B3A" w:rsidRPr="004F7E58" w14:paraId="4B8A7B30" w14:textId="77777777" w:rsidTr="009D2183">
        <w:trPr>
          <w:trHeight w:val="1845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001378A3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0607B360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V.2.1 Interna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 je</w:t>
            </w:r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uspostavljena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važećim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propisima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ispunjava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međunarodne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standarde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profesionalnu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praksu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revizije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707926CF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V.2.A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Unaprijeđen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kvalitet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rada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metodologijom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za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IR</w:t>
            </w:r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72D2BAB9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19524CC3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05578A91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0A6B9939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5CE1CA31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9344" w14:textId="52E6A27B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461C6CE6" w14:textId="73202EE9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1DD1B514" w14:textId="77777777" w:rsidTr="009D2183">
        <w:trPr>
          <w:trHeight w:val="1350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4B0C6781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35EB9B80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V.2.3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Kadrovski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kapaciteti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 interne</w:t>
            </w:r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su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ojačani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2AB95CF6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V.2.C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Bolja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pokrivenost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sektora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Federacije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funkcijom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revizije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24300C9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625F60FB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00186783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4347B666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312D4E89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322A98F7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273B023D" w14:textId="5648BA6F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0E3147FB" w14:textId="77777777" w:rsidTr="009D2183">
        <w:trPr>
          <w:trHeight w:val="2010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111C8EB8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0F9BE324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V.2.4  Interna</w:t>
            </w:r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usmjerena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pružanje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dodatne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vrijednosti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visokorizičnim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oblastima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6A659BB1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V.2.D Interna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pruža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mjerljive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efekte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oblastima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strateškog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značaja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organizacije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javnom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sektoru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FBiH</w:t>
            </w:r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5712B74E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040F1BA8" w14:textId="7422D90D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30.09.202</w:t>
            </w:r>
            <w:r w:rsidR="009D2183" w:rsidRPr="004F7E58">
              <w:rPr>
                <w:rFonts w:ascii="Calibri" w:eastAsia="Times New Roman" w:hAnsi="Calibri" w:cs="Calibri"/>
                <w:sz w:val="12"/>
                <w:szCs w:val="12"/>
              </w:rPr>
              <w:t>4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52A4BA39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1488ED68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64087A4F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34490623" w14:textId="0BC69C94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  <w:r w:rsidR="009D218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. </w:t>
            </w:r>
            <w:proofErr w:type="spellStart"/>
            <w:r w:rsidR="009D2183" w:rsidRPr="004F7E58">
              <w:rPr>
                <w:rFonts w:ascii="Calibri" w:eastAsia="Times New Roman" w:hAnsi="Calibri" w:cs="Calibri"/>
                <w:sz w:val="14"/>
                <w:szCs w:val="14"/>
              </w:rPr>
              <w:t>Završena</w:t>
            </w:r>
            <w:proofErr w:type="spellEnd"/>
            <w:r w:rsidR="009D2183"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u 2024.</w:t>
            </w:r>
          </w:p>
        </w:tc>
        <w:tc>
          <w:tcPr>
            <w:tcW w:w="946" w:type="dxa"/>
            <w:vAlign w:val="center"/>
            <w:hideMark/>
          </w:tcPr>
          <w:p w14:paraId="707D3398" w14:textId="2BFF0775" w:rsidR="006B0620" w:rsidRPr="004F7E58" w:rsidRDefault="009D2183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6B0620" w:rsidRPr="004F7E58" w14:paraId="3B034B90" w14:textId="77777777" w:rsidTr="009D2183">
        <w:trPr>
          <w:trHeight w:val="162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AE50B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896D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E5CF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FE9FF9C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FFE5A9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A5638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6A634E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7093AF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6D13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5D33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29657F03" w14:textId="77777777" w:rsidTr="009D2183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6AB95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258E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A9BCC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A7811A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0B1CB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17777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D0C4FA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1A63B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EA98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95CC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740FE05A" w14:textId="77777777" w:rsidTr="009D2183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67001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C3AF02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1D8EA2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F5AB73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BF4960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9F40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70E016A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17ADA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2DEFB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0F83C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734080A2" w14:textId="77777777" w:rsidTr="009D2183">
        <w:trPr>
          <w:trHeight w:val="255"/>
        </w:trPr>
        <w:tc>
          <w:tcPr>
            <w:tcW w:w="8578" w:type="dxa"/>
            <w:gridSpan w:val="6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01EC346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V.3.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Unaprijediti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praćenje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efektivnosti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sistema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PIFC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57362188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CHJ</w:t>
            </w:r>
            <w:proofErr w:type="spellEnd"/>
          </w:p>
        </w:tc>
        <w:tc>
          <w:tcPr>
            <w:tcW w:w="3834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52B134B9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9D2183" w:rsidRPr="004F7E58" w14:paraId="2E096DA6" w14:textId="77777777" w:rsidTr="009D2183">
        <w:trPr>
          <w:trHeight w:val="555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0C93C87B" w14:textId="77777777" w:rsidR="009D2183" w:rsidRPr="004F7E58" w:rsidRDefault="009D2183" w:rsidP="009D2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1C7ED374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4882C888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14:paraId="5C53D682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noWrap/>
            <w:vAlign w:val="center"/>
            <w:hideMark/>
          </w:tcPr>
          <w:p w14:paraId="17590F8C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vAlign w:val="center"/>
            <w:hideMark/>
          </w:tcPr>
          <w:p w14:paraId="4EB62AED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3D99A15C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49D02967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  <w:hideMark/>
          </w:tcPr>
          <w:p w14:paraId="51D12C3C" w14:textId="0923E52D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609ACF23" w14:textId="3A0EBBBA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6B0620" w:rsidRPr="004F7E58" w14:paraId="359F350C" w14:textId="77777777" w:rsidTr="009D2183">
        <w:trPr>
          <w:trHeight w:val="2010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34A4DEB1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34000325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V.3.2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Razviti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implementirati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okvir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provjeru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kvalitete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FUK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interne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strane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CHJ</w:t>
            </w:r>
            <w:proofErr w:type="spellEnd"/>
          </w:p>
        </w:tc>
        <w:tc>
          <w:tcPr>
            <w:tcW w:w="1710" w:type="dxa"/>
            <w:shd w:val="clear" w:color="CCFFFF" w:fill="FFFFCC"/>
            <w:hideMark/>
          </w:tcPr>
          <w:p w14:paraId="7F8569EB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V.3.B  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Sistem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PIFC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predmet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redovnog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stručnog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praćenja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po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metodologijama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usklađenim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dobrom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međunarodnom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praksom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3C3D6783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01.04.2021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1AB8F24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44330733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74A809F7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6D932BC9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42039CF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1FA91BE0" w14:textId="7552B27A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59AABA3C" w14:textId="77777777" w:rsidTr="009D2183">
        <w:trPr>
          <w:trHeight w:val="1515"/>
        </w:trPr>
        <w:tc>
          <w:tcPr>
            <w:tcW w:w="420" w:type="dxa"/>
            <w:tcBorders>
              <w:bottom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7C2CA94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CCFFFF" w:fill="E2EFDA"/>
            <w:hideMark/>
          </w:tcPr>
          <w:p w14:paraId="46E2529A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V.3.3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Ojačan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analitički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koordinacioni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CHJ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CCFFFF" w:fill="FFFFCC"/>
            <w:hideMark/>
          </w:tcPr>
          <w:p w14:paraId="7387B8AE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V.3.C 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Kvalitetnije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informacije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usmjeravanje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prioritetizaciju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daljeg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razvoja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PIFC</w:t>
            </w:r>
            <w:proofErr w:type="spellEnd"/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C4EA2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01.10.2020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73586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D5CB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CCFFFF" w:fill="FCE4D6"/>
            <w:vAlign w:val="center"/>
            <w:hideMark/>
          </w:tcPr>
          <w:p w14:paraId="6ECA2527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CHJ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5C00391C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  <w:hideMark/>
          </w:tcPr>
          <w:p w14:paraId="0F9BCF67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677048EE" w14:textId="0095E783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0825FF3C" w14:textId="77777777" w:rsidTr="009D2183">
        <w:trPr>
          <w:trHeight w:val="162"/>
        </w:trPr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77F98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69DFE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806D1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FA6F58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8E60B3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0BC25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DEC0DD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99CDED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EFAA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1C2F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14245E53" w14:textId="77777777" w:rsidTr="009D2183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D5134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0F867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7052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FB8A7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BC7B9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9AACC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A1C7F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3D31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A72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0592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1EE8D6BC" w14:textId="77777777" w:rsidTr="009D2183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43570A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6F0002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043B6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12880B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F9C931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234E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7C5F649D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A3CFD8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99891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EB956" w14:textId="77777777" w:rsidR="006B0620" w:rsidRPr="004F7E58" w:rsidRDefault="006B0620" w:rsidP="006B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620" w:rsidRPr="004F7E58" w14:paraId="18E05747" w14:textId="77777777" w:rsidTr="009D2183">
        <w:trPr>
          <w:trHeight w:val="255"/>
        </w:trPr>
        <w:tc>
          <w:tcPr>
            <w:tcW w:w="6180" w:type="dxa"/>
            <w:gridSpan w:val="3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582B081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V.4.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Unaprijediti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rad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budžetske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inspekcije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1BA2645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D5B0400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7B55328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32441999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996C3EB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7E6F733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62A6177F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9D2183" w:rsidRPr="004F7E58" w14:paraId="2BED98EB" w14:textId="77777777" w:rsidTr="009D2183">
        <w:trPr>
          <w:trHeight w:val="555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71810719" w14:textId="77777777" w:rsidR="009D2183" w:rsidRPr="004F7E58" w:rsidRDefault="009D2183" w:rsidP="009D21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vAlign w:val="center"/>
            <w:hideMark/>
          </w:tcPr>
          <w:p w14:paraId="7DFA2EC8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710" w:type="dxa"/>
            <w:vAlign w:val="center"/>
            <w:hideMark/>
          </w:tcPr>
          <w:p w14:paraId="01E1B3A8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14:paraId="4AB5F764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824" w:type="dxa"/>
            <w:noWrap/>
            <w:vAlign w:val="center"/>
            <w:hideMark/>
          </w:tcPr>
          <w:p w14:paraId="41E09C7C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10" w:type="dxa"/>
            <w:vAlign w:val="center"/>
            <w:hideMark/>
          </w:tcPr>
          <w:p w14:paraId="60E013C4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14:paraId="0F63346D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70" w:type="dxa"/>
            <w:vAlign w:val="center"/>
            <w:hideMark/>
          </w:tcPr>
          <w:p w14:paraId="6BDEF47D" w14:textId="77777777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  <w:hideMark/>
          </w:tcPr>
          <w:p w14:paraId="635656C5" w14:textId="66124DE5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  <w:hideMark/>
          </w:tcPr>
          <w:p w14:paraId="024BAB0C" w14:textId="3D77513D" w:rsidR="009D2183" w:rsidRPr="004F7E58" w:rsidRDefault="009D2183" w:rsidP="009D21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6B0620" w:rsidRPr="004F7E58" w14:paraId="35527F8A" w14:textId="77777777" w:rsidTr="009D2183">
        <w:trPr>
          <w:trHeight w:val="855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551033A2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6999AA89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V.4.1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inspekcije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FBIH</w:t>
            </w:r>
          </w:p>
        </w:tc>
        <w:tc>
          <w:tcPr>
            <w:tcW w:w="1710" w:type="dxa"/>
            <w:shd w:val="clear" w:color="CCFFFF" w:fill="FFFFCC"/>
            <w:hideMark/>
          </w:tcPr>
          <w:p w14:paraId="47303E0F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V.4.A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kapacitet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budžetske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inspekcije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20C99BB2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01.07.2021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7166B1C2" w14:textId="30DD56A2" w:rsidR="006B0620" w:rsidRPr="004F7E58" w:rsidRDefault="006B0620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</w:t>
            </w:r>
            <w:r w:rsidR="009D2183" w:rsidRPr="004F7E58">
              <w:rPr>
                <w:rFonts w:ascii="Calibri" w:eastAsia="Times New Roman" w:hAnsi="Calibri" w:cs="Calibri"/>
                <w:sz w:val="12"/>
                <w:szCs w:val="12"/>
              </w:rPr>
              <w:t>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0BBE653A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223E1E6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Budžetska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 xml:space="preserve"> I.</w:t>
            </w:r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44209E4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3264A2E5" w14:textId="3425B0FB" w:rsidR="006B0620" w:rsidRPr="004F7E58" w:rsidRDefault="009D2183" w:rsidP="004F7E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Nastavlja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se u 2025.</w:t>
            </w:r>
          </w:p>
        </w:tc>
        <w:tc>
          <w:tcPr>
            <w:tcW w:w="946" w:type="dxa"/>
            <w:vAlign w:val="center"/>
            <w:hideMark/>
          </w:tcPr>
          <w:p w14:paraId="59C9FF42" w14:textId="11DF435E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13D1717D" w14:textId="77777777" w:rsidTr="009D2183">
        <w:trPr>
          <w:trHeight w:val="1020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38F38E93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72B17524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V.4.2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Uspostava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inspekcija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kantonima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CCFFFF" w:fill="FFFFCC"/>
            <w:hideMark/>
          </w:tcPr>
          <w:p w14:paraId="1CE7DAD2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V.4.B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Kantonalne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budžetske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inspekcije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uspostavljene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05C25DC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01.01.2024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0C93F9E1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23E5DFC4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44C6306E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Budžetska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 xml:space="preserve"> I.</w:t>
            </w:r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023CB7B8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6E60B37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0ED17064" w14:textId="02A6F917" w:rsidR="006B0620" w:rsidRPr="004F7E58" w:rsidRDefault="00903962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6B0620" w:rsidRPr="004F7E58" w14:paraId="196FCD28" w14:textId="77777777" w:rsidTr="009D2183">
        <w:trPr>
          <w:trHeight w:val="1155"/>
        </w:trPr>
        <w:tc>
          <w:tcPr>
            <w:tcW w:w="420" w:type="dxa"/>
            <w:shd w:val="clear" w:color="CCFFFF" w:fill="F2F2F2"/>
            <w:noWrap/>
            <w:vAlign w:val="center"/>
            <w:hideMark/>
          </w:tcPr>
          <w:p w14:paraId="64FB94FC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50" w:type="dxa"/>
            <w:shd w:val="clear" w:color="CCFFFF" w:fill="E2EFDA"/>
            <w:hideMark/>
          </w:tcPr>
          <w:p w14:paraId="228F79D1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V.4.3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Usklađivanje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krivičnim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postupcima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ovlaštavanje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budžetske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inpekcije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shd w:val="clear" w:color="CCFFFF" w:fill="FFFFCC"/>
            <w:hideMark/>
          </w:tcPr>
          <w:p w14:paraId="7540FA79" w14:textId="77777777" w:rsidR="006B0620" w:rsidRPr="004F7E58" w:rsidRDefault="006B0620" w:rsidP="006B06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V.4.C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Budžetska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inspekcija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potrebne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ovlasti</w:t>
            </w:r>
            <w:proofErr w:type="spellEnd"/>
          </w:p>
        </w:tc>
        <w:tc>
          <w:tcPr>
            <w:tcW w:w="764" w:type="dxa"/>
            <w:shd w:val="clear" w:color="000000" w:fill="E2EFDA"/>
            <w:noWrap/>
            <w:vAlign w:val="center"/>
            <w:hideMark/>
          </w:tcPr>
          <w:p w14:paraId="58D5F2F6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01.07.2022</w:t>
            </w:r>
          </w:p>
        </w:tc>
        <w:tc>
          <w:tcPr>
            <w:tcW w:w="824" w:type="dxa"/>
            <w:shd w:val="clear" w:color="000000" w:fill="E2EFDA"/>
            <w:noWrap/>
            <w:vAlign w:val="center"/>
            <w:hideMark/>
          </w:tcPr>
          <w:p w14:paraId="22D69CB6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30.06.2024</w:t>
            </w:r>
          </w:p>
        </w:tc>
        <w:tc>
          <w:tcPr>
            <w:tcW w:w="810" w:type="dxa"/>
            <w:shd w:val="clear" w:color="000000" w:fill="E2EFDA"/>
            <w:noWrap/>
            <w:vAlign w:val="center"/>
            <w:hideMark/>
          </w:tcPr>
          <w:p w14:paraId="1E46C7B0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60" w:type="dxa"/>
            <w:shd w:val="clear" w:color="CCFFFF" w:fill="FCE4D6"/>
            <w:vAlign w:val="center"/>
            <w:hideMark/>
          </w:tcPr>
          <w:p w14:paraId="1C676F0D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Budžetska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 xml:space="preserve"> I.</w:t>
            </w:r>
          </w:p>
        </w:tc>
        <w:tc>
          <w:tcPr>
            <w:tcW w:w="1170" w:type="dxa"/>
            <w:shd w:val="clear" w:color="000000" w:fill="E2EFDA"/>
            <w:vAlign w:val="center"/>
            <w:hideMark/>
          </w:tcPr>
          <w:p w14:paraId="471BFD78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18" w:type="dxa"/>
            <w:vAlign w:val="center"/>
            <w:hideMark/>
          </w:tcPr>
          <w:p w14:paraId="17D7C3D5" w14:textId="77777777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vAlign w:val="center"/>
            <w:hideMark/>
          </w:tcPr>
          <w:p w14:paraId="4B8070AF" w14:textId="3D281829" w:rsidR="006B0620" w:rsidRPr="004F7E58" w:rsidRDefault="006B0620" w:rsidP="006B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</w:tbl>
    <w:p w14:paraId="6B9619DD" w14:textId="35EEE946" w:rsidR="007F2E2C" w:rsidRPr="004F7E58" w:rsidRDefault="007F2E2C" w:rsidP="007F2E2C"/>
    <w:p w14:paraId="2977F980" w14:textId="7AAB5985" w:rsidR="00F12895" w:rsidRPr="004F7E58" w:rsidRDefault="00F12895" w:rsidP="007F2E2C"/>
    <w:p w14:paraId="1A964219" w14:textId="11727973" w:rsidR="00F12895" w:rsidRPr="004F7E58" w:rsidRDefault="00F12895" w:rsidP="007F2E2C"/>
    <w:p w14:paraId="6FA9E560" w14:textId="63D18158" w:rsidR="00F12895" w:rsidRPr="004F7E58" w:rsidRDefault="00F12895" w:rsidP="007F2E2C"/>
    <w:p w14:paraId="775BF557" w14:textId="1DE00BC9" w:rsidR="00F12895" w:rsidRPr="004F7E58" w:rsidRDefault="00F12895" w:rsidP="007F2E2C"/>
    <w:p w14:paraId="3730D731" w14:textId="67BC3CFA" w:rsidR="00F12895" w:rsidRPr="004F7E58" w:rsidRDefault="00F12895" w:rsidP="007F2E2C"/>
    <w:p w14:paraId="3B7C3C48" w14:textId="28215A7E" w:rsidR="00F12895" w:rsidRPr="004F7E58" w:rsidRDefault="00F12895" w:rsidP="007F2E2C"/>
    <w:p w14:paraId="2299606D" w14:textId="71150877" w:rsidR="00F12895" w:rsidRPr="004F7E58" w:rsidRDefault="00F12895" w:rsidP="007F2E2C"/>
    <w:p w14:paraId="4EF2B963" w14:textId="77777777" w:rsidR="00F12895" w:rsidRPr="004F7E58" w:rsidRDefault="00F12895" w:rsidP="007F2E2C"/>
    <w:tbl>
      <w:tblPr>
        <w:tblW w:w="13147" w:type="dxa"/>
        <w:tblInd w:w="173" w:type="dxa"/>
        <w:tblLook w:val="04A0" w:firstRow="1" w:lastRow="0" w:firstColumn="1" w:lastColumn="0" w:noHBand="0" w:noVBand="1"/>
      </w:tblPr>
      <w:tblGrid>
        <w:gridCol w:w="1020"/>
        <w:gridCol w:w="1760"/>
        <w:gridCol w:w="1698"/>
        <w:gridCol w:w="820"/>
        <w:gridCol w:w="263"/>
        <w:gridCol w:w="803"/>
        <w:gridCol w:w="803"/>
        <w:gridCol w:w="803"/>
        <w:gridCol w:w="803"/>
        <w:gridCol w:w="803"/>
        <w:gridCol w:w="1072"/>
        <w:gridCol w:w="982"/>
        <w:gridCol w:w="1522"/>
      </w:tblGrid>
      <w:tr w:rsidR="007F2E2C" w:rsidRPr="004F7E58" w14:paraId="123D8918" w14:textId="77777777" w:rsidTr="00DC7F97">
        <w:trPr>
          <w:trHeight w:val="5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21E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927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0EC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254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58E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50E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128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7FA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6BD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69B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F51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2CA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00000"/>
            <w:vAlign w:val="center"/>
            <w:hideMark/>
          </w:tcPr>
          <w:p w14:paraId="12C1073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br/>
              <w:t>stupa</w:t>
            </w:r>
          </w:p>
        </w:tc>
      </w:tr>
      <w:tr w:rsidR="007F2E2C" w:rsidRPr="004F7E58" w14:paraId="756332A8" w14:textId="77777777" w:rsidTr="00DC7F97">
        <w:trPr>
          <w:trHeight w:val="525"/>
        </w:trPr>
        <w:tc>
          <w:tcPr>
            <w:tcW w:w="7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DC10A3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STUP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:  VI.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EKSTERNA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1B228D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3AD67F4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1DE7EB8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5FB0393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068F4A0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CCFFFF" w:fill="C00000"/>
            <w:noWrap/>
            <w:vAlign w:val="center"/>
            <w:hideMark/>
          </w:tcPr>
          <w:p w14:paraId="421687C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Revizija</w:t>
            </w:r>
            <w:proofErr w:type="spellEnd"/>
          </w:p>
        </w:tc>
      </w:tr>
      <w:tr w:rsidR="007F2E2C" w:rsidRPr="004F7E58" w14:paraId="2F654195" w14:textId="77777777" w:rsidTr="00DC7F97">
        <w:trPr>
          <w:trHeight w:val="73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B49A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stupa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220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Indikator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A34389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podataka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verifikaciju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6BCEB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66F3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786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Polazna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CE5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2021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598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2022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BC1B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2023</w:t>
            </w:r>
          </w:p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2BD3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512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0AA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Indikator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strategiji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UJF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89AAA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Izvjestitelj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ciljane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vrijednosti</w:t>
            </w:r>
            <w:proofErr w:type="spellEnd"/>
          </w:p>
        </w:tc>
      </w:tr>
      <w:tr w:rsidR="007F2E2C" w:rsidRPr="004F7E58" w14:paraId="24FC6A57" w14:textId="77777777" w:rsidTr="004F7E58">
        <w:trPr>
          <w:trHeight w:val="184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5A91B45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VI.A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Ustavom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uspostavljena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nezavisna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VRI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poštivanje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funkcionalne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operativne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finansijske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nezavisnosti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praksi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2C044D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VI.A.a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izmjene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Ustava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FBiH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koje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uvrštavaju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Ured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FBiH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451D169D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Službeni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Glasnik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FBIH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07F9553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0346B9B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B500ED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956ABD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D0A73F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5100BB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139F74A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674A20F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Objavljene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izmjene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Ustava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FBIH</w:t>
            </w: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99FF"/>
            <w:vAlign w:val="center"/>
            <w:hideMark/>
          </w:tcPr>
          <w:p w14:paraId="21DEE9A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Da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7FB6DAF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Revizija</w:t>
            </w:r>
            <w:proofErr w:type="spellEnd"/>
          </w:p>
        </w:tc>
      </w:tr>
      <w:tr w:rsidR="007F2E2C" w:rsidRPr="004F7E58" w14:paraId="064BDFCD" w14:textId="77777777" w:rsidTr="004F7E58">
        <w:trPr>
          <w:trHeight w:val="690"/>
        </w:trPr>
        <w:tc>
          <w:tcPr>
            <w:tcW w:w="1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FFFF" w:fill="DDEBF7"/>
            <w:hideMark/>
          </w:tcPr>
          <w:p w14:paraId="02884F4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VI.B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Povećan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učinak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vanjske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255BE5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Vi.B.a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Povećan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obim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6E74EDBF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Ured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FBIH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16D1A1D0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033971E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DD4178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5C97FAC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4D7D6A0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F5898E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4EECF6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896809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00CF540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2CD86FF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Revizija</w:t>
            </w:r>
            <w:proofErr w:type="spellEnd"/>
          </w:p>
        </w:tc>
      </w:tr>
      <w:tr w:rsidR="007F2E2C" w:rsidRPr="004F7E58" w14:paraId="367E8DE2" w14:textId="77777777" w:rsidTr="004F7E58">
        <w:trPr>
          <w:trHeight w:val="36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27D579A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43A7CF85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VI.B.b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Povećan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broj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implementiranih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preporuka</w:t>
            </w:r>
            <w:proofErr w:type="spell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noWrap/>
            <w:hideMark/>
          </w:tcPr>
          <w:p w14:paraId="17D1021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Ured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 xml:space="preserve"> u FBIH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DDEBF7"/>
            <w:hideMark/>
          </w:tcPr>
          <w:p w14:paraId="4849E33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hideMark/>
          </w:tcPr>
          <w:p w14:paraId="559E1A3B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2D61293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23% (2019)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03761BE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26%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65189A3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29%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BE05BF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32%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6935BAF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4D53AA9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38%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DDEBF7"/>
            <w:vAlign w:val="center"/>
            <w:hideMark/>
          </w:tcPr>
          <w:p w14:paraId="1DC3660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Ne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14:paraId="6C2DDCD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Revizija</w:t>
            </w:r>
            <w:proofErr w:type="spellEnd"/>
          </w:p>
        </w:tc>
      </w:tr>
    </w:tbl>
    <w:p w14:paraId="3015E627" w14:textId="77777777" w:rsidR="007F2E2C" w:rsidRPr="004F7E58" w:rsidRDefault="007F2E2C" w:rsidP="007F2E2C"/>
    <w:p w14:paraId="532B31D8" w14:textId="77777777" w:rsidR="007F2E2C" w:rsidRPr="004F7E58" w:rsidRDefault="007F2E2C" w:rsidP="007F2E2C"/>
    <w:tbl>
      <w:tblPr>
        <w:tblW w:w="13499" w:type="dxa"/>
        <w:tblInd w:w="252" w:type="dxa"/>
        <w:tblLook w:val="04A0" w:firstRow="1" w:lastRow="0" w:firstColumn="1" w:lastColumn="0" w:noHBand="0" w:noVBand="1"/>
      </w:tblPr>
      <w:tblGrid>
        <w:gridCol w:w="315"/>
        <w:gridCol w:w="4080"/>
        <w:gridCol w:w="1612"/>
        <w:gridCol w:w="764"/>
        <w:gridCol w:w="764"/>
        <w:gridCol w:w="856"/>
        <w:gridCol w:w="1252"/>
        <w:gridCol w:w="1162"/>
        <w:gridCol w:w="1748"/>
        <w:gridCol w:w="946"/>
      </w:tblGrid>
      <w:tr w:rsidR="007F2E2C" w:rsidRPr="004F7E58" w14:paraId="7DA0E7A3" w14:textId="77777777" w:rsidTr="007A297C">
        <w:trPr>
          <w:trHeight w:val="45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416D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D1B1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5D55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55DAB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7296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C752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70F6B14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CE54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412C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15B8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28C9D6B2" w14:textId="77777777" w:rsidTr="007A297C">
        <w:trPr>
          <w:trHeight w:val="255"/>
        </w:trPr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20E34EC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VI.1.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Nezavisnost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mandat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organizaciju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FBiH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osigurati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ustavnim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zakonskim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okvirima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poštivati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praksi</w:t>
            </w:r>
            <w:proofErr w:type="spellEnd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4B510EC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Revizija</w:t>
            </w:r>
            <w:proofErr w:type="spellEnd"/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7FB0481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7A297C" w:rsidRPr="004F7E58" w14:paraId="7B573077" w14:textId="77777777" w:rsidTr="007A297C">
        <w:trPr>
          <w:trHeight w:val="555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623E43C1" w14:textId="77777777" w:rsidR="007A297C" w:rsidRPr="004F7E58" w:rsidRDefault="007A297C" w:rsidP="007A2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1BD5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7041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3818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B954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7F5F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074C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D9C2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B7BA" w14:textId="44D4919C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22A7" w14:textId="4C754DED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F2E2C" w:rsidRPr="004F7E58" w14:paraId="32475DA7" w14:textId="77777777" w:rsidTr="007A297C">
        <w:trPr>
          <w:trHeight w:val="1155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AEB303A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0BA60999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VI.1.1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Podizati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svijest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isticati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važnosti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uvrštavanja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FBiH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Ustav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FBiH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7BCAF4F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VI.1.A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Ured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FBiH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uvršten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je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Ustav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FBiH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24A56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E991F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91AA1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1A37FE4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22477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E5D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5C51" w14:textId="4633A5E9" w:rsidR="007F2E2C" w:rsidRPr="004F7E58" w:rsidRDefault="00A838D2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5D35B59E" w14:textId="77777777" w:rsidTr="007A297C">
        <w:trPr>
          <w:trHeight w:val="2280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6E09B6B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21B74A3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VI.1.2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Nastaviti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strateškim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naporima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uvrštavanje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Ustav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FBiH,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upućivanjem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inicijativa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Ustavnim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komisijama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Parlamenta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FBiH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Parlamentarnoj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komisiji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odgovornoj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0FA6DAA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VI.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1.B</w:t>
            </w:r>
            <w:proofErr w:type="gram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1EF4C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0AA3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31.03.2025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FD85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240BC7A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6BB6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AD5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E3AA" w14:textId="4670C90A" w:rsidR="007F2E2C" w:rsidRPr="004F7E58" w:rsidRDefault="00A838D2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014A8A2B" w14:textId="77777777" w:rsidTr="007A297C">
        <w:trPr>
          <w:trHeight w:val="363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085457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43C6C29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VI.1.3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Poduzimati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prema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organima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institucijama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izvršne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organima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isticanju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važnosti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održavanja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funkcionalne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operativne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finansijske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nezavisnosti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FBiH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dijelu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dosljedne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primjene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(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lex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specialis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)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3B24FFE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VI.1.C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Organizaciona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upravljačka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finansijska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nezavisnost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VRI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održana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(bez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uplitanja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nezavisnost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79952A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5C1CB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C7462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53DAB80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1F1E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0833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9233" w14:textId="6FDD65F6" w:rsidR="007F2E2C" w:rsidRPr="004F7E58" w:rsidRDefault="00A838D2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1BB409D7" w14:textId="77777777" w:rsidTr="007A297C">
        <w:trPr>
          <w:trHeight w:val="162"/>
        </w:trPr>
        <w:tc>
          <w:tcPr>
            <w:tcW w:w="31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A34CB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C2F20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CCE5C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5698E26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4232901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CD9F5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  <w:hideMark/>
          </w:tcPr>
          <w:p w14:paraId="7365904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  <w:hideMark/>
          </w:tcPr>
          <w:p w14:paraId="1A5E152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65DFC6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A85AE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4CF53CFF" w14:textId="77777777" w:rsidTr="007A297C">
        <w:trPr>
          <w:trHeight w:val="162"/>
        </w:trPr>
        <w:tc>
          <w:tcPr>
            <w:tcW w:w="315" w:type="dxa"/>
            <w:noWrap/>
            <w:vAlign w:val="center"/>
            <w:hideMark/>
          </w:tcPr>
          <w:p w14:paraId="463FC5C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778199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272A7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97C312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26082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54A1F3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A00824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ACB5E2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F147E3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9FAAA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4ADB61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D68A32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69E12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DEA8F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1F2C34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5A6792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855065" w14:textId="77777777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EA4050" w14:textId="51441924" w:rsidR="00F12895" w:rsidRPr="004F7E58" w:rsidRDefault="00F12895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hideMark/>
          </w:tcPr>
          <w:p w14:paraId="09B23AA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hideMark/>
          </w:tcPr>
          <w:p w14:paraId="15808FE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  <w:hideMark/>
          </w:tcPr>
          <w:p w14:paraId="001D611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  <w:hideMark/>
          </w:tcPr>
          <w:p w14:paraId="022296D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  <w:hideMark/>
          </w:tcPr>
          <w:p w14:paraId="04013D4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  <w:hideMark/>
          </w:tcPr>
          <w:p w14:paraId="778A935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50EBDE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E4904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A4FBAD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2706ED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8A43D6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6541F1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C3AFB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B505A5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244AEF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B871ED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7CE6D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3AA87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855EB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8211D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BB555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C140B2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18D777" w14:textId="77777777" w:rsidR="00714A06" w:rsidRPr="004F7E58" w:rsidRDefault="00714A06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99859B" w14:textId="410EBE3B" w:rsidR="00714A06" w:rsidRPr="004F7E58" w:rsidRDefault="00714A06" w:rsidP="00714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  <w:hideMark/>
          </w:tcPr>
          <w:p w14:paraId="22A772AD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  <w:hideMark/>
          </w:tcPr>
          <w:p w14:paraId="0CE70D1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14:paraId="16EE3F0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0B2F8281" w14:textId="77777777" w:rsidTr="007A297C">
        <w:trPr>
          <w:trHeight w:val="450"/>
        </w:trPr>
        <w:tc>
          <w:tcPr>
            <w:tcW w:w="31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31DEB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3A421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9072363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71E5401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hideMark/>
          </w:tcPr>
          <w:p w14:paraId="02D7A16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8138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02A814A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2DAE0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479139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3F14D4D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5EF68F85" w14:textId="77777777" w:rsidTr="007A297C">
        <w:trPr>
          <w:trHeight w:val="255"/>
        </w:trPr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38AE4856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VI.2.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Jačati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institucionalne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kapacitete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FBiH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kako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bi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osiguralo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INTOSAI-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jevim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Okvirom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profesionalnih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objava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veća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pokrivenost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subjekata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nadležnosti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1119CAE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Revizija</w:t>
            </w:r>
            <w:proofErr w:type="spellEnd"/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58AF57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7A297C" w:rsidRPr="004F7E58" w14:paraId="27E7C46D" w14:textId="77777777" w:rsidTr="007A297C">
        <w:trPr>
          <w:trHeight w:val="555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33ECC63F" w14:textId="77777777" w:rsidR="007A297C" w:rsidRPr="004F7E58" w:rsidRDefault="007A297C" w:rsidP="007A2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2C11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3F1A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A8164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B4F7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4731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E603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D850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1E1F" w14:textId="539DED33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79C8" w14:textId="22C1E1B0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D07B3A" w:rsidRPr="004F7E58" w14:paraId="5EA092C7" w14:textId="77777777" w:rsidTr="007A297C">
        <w:trPr>
          <w:trHeight w:val="1380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01674A1D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7292FD12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VI.2.1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institucionalnih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FBiH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ljudskih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resursa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0C0380C6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VI.2.A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broj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osoblja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novim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kompetencijama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vještinama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6FD3DD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1FBE5F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70A5E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36B59968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AFBC7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E8B1" w14:textId="273FDCA9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19E" w14:textId="1B9D8CB3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0960043F" w14:textId="77777777" w:rsidTr="007A297C">
        <w:trPr>
          <w:trHeight w:val="160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12BC7F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17A3293F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VI.2.2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institucionalnih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kapaciteta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Ureda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institucija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FBiH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oblasti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informacionih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tehnologija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6972198B" w14:textId="45427CE0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VI.2.C</w:t>
            </w:r>
            <w:r w:rsidR="0041570A" w:rsidRPr="004F7E58"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Softver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podršku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procesu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revizije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(AMS) u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upotrebi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4AEA8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13E84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C2BE3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4208165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4D5FE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A3B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8C6D" w14:textId="062B6C19" w:rsidR="007F2E2C" w:rsidRPr="004F7E58" w:rsidRDefault="00A838D2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365D0C3C" w14:textId="77777777" w:rsidTr="007A297C">
        <w:trPr>
          <w:trHeight w:val="162"/>
        </w:trPr>
        <w:tc>
          <w:tcPr>
            <w:tcW w:w="315" w:type="dxa"/>
            <w:tcBorders>
              <w:top w:val="single" w:sz="4" w:space="0" w:color="auto"/>
              <w:left w:val="nil"/>
            </w:tcBorders>
            <w:noWrap/>
            <w:vAlign w:val="center"/>
            <w:hideMark/>
          </w:tcPr>
          <w:p w14:paraId="438FA5C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D7824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AEE15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1606F1B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  <w:noWrap/>
            <w:hideMark/>
          </w:tcPr>
          <w:p w14:paraId="2373B4C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8E9F73A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  <w:hideMark/>
          </w:tcPr>
          <w:p w14:paraId="32BE3EDE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  <w:hideMark/>
          </w:tcPr>
          <w:p w14:paraId="477E997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D2941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882E17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442BCE27" w14:textId="77777777" w:rsidTr="007A297C">
        <w:trPr>
          <w:trHeight w:val="162"/>
        </w:trPr>
        <w:tc>
          <w:tcPr>
            <w:tcW w:w="315" w:type="dxa"/>
            <w:tcBorders>
              <w:left w:val="nil"/>
            </w:tcBorders>
            <w:noWrap/>
            <w:vAlign w:val="center"/>
            <w:hideMark/>
          </w:tcPr>
          <w:p w14:paraId="2AAB3882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hideMark/>
          </w:tcPr>
          <w:p w14:paraId="05A39D7C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hideMark/>
          </w:tcPr>
          <w:p w14:paraId="70DD51BF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  <w:hideMark/>
          </w:tcPr>
          <w:p w14:paraId="7595F2F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  <w:hideMark/>
          </w:tcPr>
          <w:p w14:paraId="1496BAD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  <w:hideMark/>
          </w:tcPr>
          <w:p w14:paraId="758A53C5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  <w:hideMark/>
          </w:tcPr>
          <w:p w14:paraId="56BC96F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  <w:hideMark/>
          </w:tcPr>
          <w:p w14:paraId="1BF858E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  <w:hideMark/>
          </w:tcPr>
          <w:p w14:paraId="2176465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14:paraId="5176587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08C9D99D" w14:textId="77777777" w:rsidTr="007A297C">
        <w:trPr>
          <w:trHeight w:val="450"/>
        </w:trPr>
        <w:tc>
          <w:tcPr>
            <w:tcW w:w="315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5F90859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noWrap/>
            <w:vAlign w:val="center"/>
            <w:hideMark/>
          </w:tcPr>
          <w:p w14:paraId="46628A8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noWrap/>
            <w:vAlign w:val="center"/>
            <w:hideMark/>
          </w:tcPr>
          <w:p w14:paraId="4D6993F1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665D6D2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29313A86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09EF9D9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vAlign w:val="center"/>
            <w:hideMark/>
          </w:tcPr>
          <w:p w14:paraId="4DE3EB7F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Koordinator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  <w:t>mjere</w:t>
            </w:r>
            <w:proofErr w:type="spellEnd"/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CE560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5C74426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88E5E70" w14:textId="77777777" w:rsidR="007F2E2C" w:rsidRPr="004F7E58" w:rsidRDefault="007F2E2C" w:rsidP="00DC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E2C" w:rsidRPr="004F7E58" w14:paraId="63AB763F" w14:textId="77777777" w:rsidTr="007A297C">
        <w:trPr>
          <w:trHeight w:val="255"/>
        </w:trPr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CFFFF" w:fill="FFFFCC"/>
            <w:noWrap/>
            <w:vAlign w:val="center"/>
            <w:hideMark/>
          </w:tcPr>
          <w:p w14:paraId="42AE174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MJERA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: VI.3.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Primjena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INTOSAI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Okvira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profesionalnih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objava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, s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ciljem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osiguranja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visokokvalitetnih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koje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doprinose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poboljšanju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upravljanja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javnim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finansijama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BC0D8D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Revizija</w:t>
            </w:r>
            <w:proofErr w:type="spellEnd"/>
          </w:p>
        </w:tc>
        <w:tc>
          <w:tcPr>
            <w:tcW w:w="3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noWrap/>
            <w:vAlign w:val="center"/>
            <w:hideMark/>
          </w:tcPr>
          <w:p w14:paraId="204A765C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</w:tr>
      <w:tr w:rsidR="007A297C" w:rsidRPr="004F7E58" w14:paraId="2923D966" w14:textId="77777777" w:rsidTr="007A297C">
        <w:trPr>
          <w:trHeight w:val="555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43E42C06" w14:textId="77777777" w:rsidR="007A297C" w:rsidRPr="004F7E58" w:rsidRDefault="007A297C" w:rsidP="007A2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B38E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0C1B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Rezultat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2028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Od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68C9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Do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C116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Horiz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2935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Nosilac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A347" w14:textId="77777777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Status 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D082" w14:textId="3DAA8450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Obrazloženje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promjene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statusa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,</w:t>
            </w:r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2024&lt;&gt;2025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CC6A" w14:textId="61C27409" w:rsidR="007A297C" w:rsidRPr="004F7E58" w:rsidRDefault="007A297C" w:rsidP="007A2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Aktivan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br/>
              <w:t>u 2025</w:t>
            </w:r>
          </w:p>
        </w:tc>
      </w:tr>
      <w:tr w:rsidR="007F2E2C" w:rsidRPr="004F7E58" w14:paraId="5DBF2726" w14:textId="77777777" w:rsidTr="007A297C">
        <w:trPr>
          <w:trHeight w:val="1680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5F57E9B1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4AAD265F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VI.3.1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Usklađivanje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metodologije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INTOSAI-</w:t>
            </w:r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jevim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Okvirom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profesionalnih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objava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6FA5DE6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VI.3.A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obavljene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ISSAI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standarda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čime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je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osiguran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kvalitet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revizija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530C9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01.10.2020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69C4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752137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1087E5E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8C1EE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003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4C5" w14:textId="4ADEAFFB" w:rsidR="007F2E2C" w:rsidRPr="004F7E58" w:rsidRDefault="00424243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D07B3A" w:rsidRPr="004F7E58" w14:paraId="01B42BA8" w14:textId="77777777" w:rsidTr="007A297C">
        <w:trPr>
          <w:trHeight w:val="1605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094DD7FE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0A63D011" w14:textId="77777777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VI.3.2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aktivnosti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kontrole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kvaliteta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kako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bi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osiguralo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da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provode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skladu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sa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INTOSAI-jevim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>standardima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3231D6C5" w14:textId="65EFF24B" w:rsidR="00D07B3A" w:rsidRPr="004F7E58" w:rsidRDefault="00D07B3A" w:rsidP="00D07B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IV.3.B</w:t>
            </w:r>
            <w:r w:rsidR="0041570A" w:rsidRPr="004F7E58">
              <w:rPr>
                <w:lang w:val="fr-FR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Kontrola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kvaliteta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revizija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se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provodi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u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skladu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sa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relevantnim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  <w:lang w:val="fr-FR"/>
              </w:rPr>
              <w:t>standardima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091F0E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F92D9C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7851F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0B9AF319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CAADF" w14:textId="77777777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C.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Ažurirana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aktivnost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(u 2021. za GAP 2022)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DF8" w14:textId="4EA3FA49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E95" w14:textId="5C12132A" w:rsidR="00D07B3A" w:rsidRPr="004F7E58" w:rsidRDefault="00D07B3A" w:rsidP="00D07B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  <w:tr w:rsidR="007F2E2C" w:rsidRPr="004F7E58" w14:paraId="5C9105FC" w14:textId="77777777" w:rsidTr="007A297C">
        <w:trPr>
          <w:trHeight w:val="2505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77FB711E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042F88BC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VI.3.3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Provođenje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sistemskog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praćenja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postupanja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po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datim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preporukama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revizorskim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izvještajima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s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ciljem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povećanja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odgovornosti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transparentnosti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učinkovitosti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u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javnom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sektoru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2E9D5004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VI.3.C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Povećana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Implementacija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preporuka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VRI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37A6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A954E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EC8C5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3B791BF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318F18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5B70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E214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</w:t>
            </w:r>
          </w:p>
        </w:tc>
      </w:tr>
      <w:tr w:rsidR="007F2E2C" w:rsidRPr="00B34032" w14:paraId="28B1C307" w14:textId="77777777" w:rsidTr="007A297C">
        <w:trPr>
          <w:trHeight w:val="2280"/>
        </w:trPr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CCFFFF" w:fill="F2F2F2"/>
            <w:noWrap/>
            <w:vAlign w:val="center"/>
            <w:hideMark/>
          </w:tcPr>
          <w:p w14:paraId="429F83F7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9933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E2EFDA"/>
            <w:hideMark/>
          </w:tcPr>
          <w:p w14:paraId="7C967863" w14:textId="77777777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VI.3.4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Jačanje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komunikacije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ključnim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akterima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što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su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subjekti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zakonodavna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tijela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svih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nivoa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vlasti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organi</w:t>
            </w:r>
            <w:proofErr w:type="spellEnd"/>
            <w:proofErr w:type="gram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za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provođnje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zakona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mediji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građani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,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kako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bi se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povećao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uticaj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revizije</w:t>
            </w:r>
            <w:proofErr w:type="spellEnd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CC"/>
            <w:hideMark/>
          </w:tcPr>
          <w:p w14:paraId="3395701E" w14:textId="2D4E49DA" w:rsidR="007F2E2C" w:rsidRPr="004F7E58" w:rsidRDefault="007F2E2C" w:rsidP="00DC7F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IV.3.D</w:t>
            </w:r>
            <w:r w:rsidR="0041570A" w:rsidRPr="004F7E58">
              <w:t xml:space="preserve"> </w:t>
            </w:r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Na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snazi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je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Komunikacijska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strategije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sa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adekvatnim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resursima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za </w:t>
            </w:r>
            <w:proofErr w:type="spellStart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implementaciju</w:t>
            </w:r>
            <w:proofErr w:type="spellEnd"/>
            <w:r w:rsidR="0041570A" w:rsidRPr="004F7E58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FAF602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01.01.2021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BC6CA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31.12.2025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1899B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Ne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CE4D6"/>
            <w:vAlign w:val="center"/>
            <w:hideMark/>
          </w:tcPr>
          <w:p w14:paraId="6F28BC99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b/>
                <w:bCs/>
                <w:color w:val="333399"/>
                <w:sz w:val="12"/>
                <w:szCs w:val="12"/>
              </w:rPr>
              <w:t>Revizija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829C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A.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Iz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usvojene</w:t>
            </w:r>
            <w:proofErr w:type="spellEnd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2"/>
                <w:szCs w:val="12"/>
              </w:rPr>
              <w:t>Strategije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8171" w14:textId="77777777" w:rsidR="007F2E2C" w:rsidRPr="004F7E58" w:rsidRDefault="007F2E2C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Nema</w:t>
            </w:r>
            <w:proofErr w:type="spellEnd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promjena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ABF6" w14:textId="3C760A13" w:rsidR="007F2E2C" w:rsidRPr="00B34032" w:rsidRDefault="00A57FA7" w:rsidP="00DC7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4F7E58">
              <w:rPr>
                <w:rFonts w:ascii="Calibri" w:eastAsia="Times New Roman" w:hAnsi="Calibri" w:cs="Calibri"/>
                <w:sz w:val="14"/>
                <w:szCs w:val="14"/>
              </w:rPr>
              <w:t>Da</w:t>
            </w:r>
          </w:p>
        </w:tc>
      </w:tr>
    </w:tbl>
    <w:p w14:paraId="4693A208" w14:textId="77777777" w:rsidR="007F2E2C" w:rsidRDefault="007F2E2C" w:rsidP="007F2E2C"/>
    <w:sectPr w:rsidR="007F2E2C" w:rsidSect="00FB58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89FF" w14:textId="77777777" w:rsidR="00D01E7F" w:rsidRDefault="00D01E7F" w:rsidP="005F3877">
      <w:pPr>
        <w:spacing w:after="0" w:line="240" w:lineRule="auto"/>
      </w:pPr>
      <w:r>
        <w:separator/>
      </w:r>
    </w:p>
  </w:endnote>
  <w:endnote w:type="continuationSeparator" w:id="0">
    <w:p w14:paraId="110DA069" w14:textId="77777777" w:rsidR="00D01E7F" w:rsidRDefault="00D01E7F" w:rsidP="005F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001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14E9F" w14:textId="79724240" w:rsidR="00274B98" w:rsidRDefault="00274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51E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666D6" w14:textId="77777777" w:rsidR="00D01E7F" w:rsidRDefault="00D01E7F" w:rsidP="005F3877">
      <w:pPr>
        <w:spacing w:after="0" w:line="240" w:lineRule="auto"/>
      </w:pPr>
      <w:r>
        <w:separator/>
      </w:r>
    </w:p>
  </w:footnote>
  <w:footnote w:type="continuationSeparator" w:id="0">
    <w:p w14:paraId="6DFA3F87" w14:textId="77777777" w:rsidR="00D01E7F" w:rsidRDefault="00D01E7F" w:rsidP="005F3877">
      <w:pPr>
        <w:spacing w:after="0" w:line="240" w:lineRule="auto"/>
      </w:pPr>
      <w:r>
        <w:continuationSeparator/>
      </w:r>
    </w:p>
  </w:footnote>
  <w:footnote w:id="1">
    <w:p w14:paraId="70FCA306" w14:textId="5570D25C" w:rsidR="00274B98" w:rsidRPr="002C7463" w:rsidRDefault="00274B98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Aktivnost fiskalne reforme</w:t>
      </w:r>
    </w:p>
  </w:footnote>
  <w:footnote w:id="2">
    <w:p w14:paraId="40F29357" w14:textId="77777777" w:rsidR="00274B98" w:rsidRPr="00A32C96" w:rsidRDefault="00274B98" w:rsidP="00CF585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Support for preparation of public debt reporting EU funded projct</w:t>
      </w:r>
    </w:p>
  </w:footnote>
  <w:footnote w:id="3">
    <w:p w14:paraId="50719107" w14:textId="77777777" w:rsidR="00274B98" w:rsidRPr="00267AE3" w:rsidRDefault="00274B98" w:rsidP="00C73D9F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 xml:space="preserve">Sluzbene novine FBiH br.17/24, 6.3.2024.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06A"/>
    <w:multiLevelType w:val="multilevel"/>
    <w:tmpl w:val="6BEEE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69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  <w:i w:val="0"/>
        <w:color w:val="C00000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1" w15:restartNumberingAfterBreak="0">
    <w:nsid w:val="0175175A"/>
    <w:multiLevelType w:val="multilevel"/>
    <w:tmpl w:val="ECB2F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FC4815"/>
    <w:multiLevelType w:val="multilevel"/>
    <w:tmpl w:val="3F78551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5352B0"/>
    <w:multiLevelType w:val="multilevel"/>
    <w:tmpl w:val="C28CE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0DCF653C"/>
    <w:multiLevelType w:val="multilevel"/>
    <w:tmpl w:val="07465D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991FC4"/>
    <w:multiLevelType w:val="multilevel"/>
    <w:tmpl w:val="3F78551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45161B"/>
    <w:multiLevelType w:val="hybridMultilevel"/>
    <w:tmpl w:val="3294AD7C"/>
    <w:lvl w:ilvl="0" w:tplc="FF2611E8"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C0FCF"/>
    <w:multiLevelType w:val="multilevel"/>
    <w:tmpl w:val="500AF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69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8" w15:restartNumberingAfterBreak="0">
    <w:nsid w:val="2F730A56"/>
    <w:multiLevelType w:val="hybridMultilevel"/>
    <w:tmpl w:val="590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163CA"/>
    <w:multiLevelType w:val="multilevel"/>
    <w:tmpl w:val="3F78551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2906D8"/>
    <w:multiLevelType w:val="hybridMultilevel"/>
    <w:tmpl w:val="7F3A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E0A86"/>
    <w:multiLevelType w:val="hybridMultilevel"/>
    <w:tmpl w:val="DF02F750"/>
    <w:lvl w:ilvl="0" w:tplc="14380D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579A0"/>
    <w:multiLevelType w:val="hybridMultilevel"/>
    <w:tmpl w:val="6C48777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920EA"/>
    <w:multiLevelType w:val="multilevel"/>
    <w:tmpl w:val="EB6AE82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B42B58"/>
    <w:multiLevelType w:val="hybridMultilevel"/>
    <w:tmpl w:val="1650725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F5068"/>
    <w:multiLevelType w:val="hybridMultilevel"/>
    <w:tmpl w:val="9B687F9C"/>
    <w:lvl w:ilvl="0" w:tplc="53A2FE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1DED"/>
    <w:multiLevelType w:val="hybridMultilevel"/>
    <w:tmpl w:val="7E94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803E3"/>
    <w:multiLevelType w:val="multilevel"/>
    <w:tmpl w:val="ADD4405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7961B5"/>
    <w:multiLevelType w:val="multilevel"/>
    <w:tmpl w:val="3F78551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F076B"/>
    <w:multiLevelType w:val="multilevel"/>
    <w:tmpl w:val="7220CE1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8830CA"/>
    <w:multiLevelType w:val="hybridMultilevel"/>
    <w:tmpl w:val="7E94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64B0C"/>
    <w:multiLevelType w:val="hybridMultilevel"/>
    <w:tmpl w:val="64FC6DB2"/>
    <w:lvl w:ilvl="0" w:tplc="11A8B034">
      <w:start w:val="3"/>
      <w:numFmt w:val="bullet"/>
      <w:lvlText w:val="-"/>
      <w:lvlJc w:val="left"/>
      <w:pPr>
        <w:ind w:left="720" w:hanging="360"/>
      </w:pPr>
      <w:rPr>
        <w:rFonts w:ascii="Calibri" w:eastAsia="MS PGoth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15183"/>
    <w:multiLevelType w:val="hybridMultilevel"/>
    <w:tmpl w:val="2CFAEC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77DB0"/>
    <w:multiLevelType w:val="hybridMultilevel"/>
    <w:tmpl w:val="56F69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A708B"/>
    <w:multiLevelType w:val="multilevel"/>
    <w:tmpl w:val="500AF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69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440"/>
      </w:pPr>
      <w:rPr>
        <w:rFonts w:hint="default"/>
      </w:rPr>
    </w:lvl>
  </w:abstractNum>
  <w:abstractNum w:abstractNumId="25" w15:restartNumberingAfterBreak="0">
    <w:nsid w:val="5C0C71E6"/>
    <w:multiLevelType w:val="hybridMultilevel"/>
    <w:tmpl w:val="BA780C52"/>
    <w:lvl w:ilvl="0" w:tplc="53A2FE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B68D7"/>
    <w:multiLevelType w:val="hybridMultilevel"/>
    <w:tmpl w:val="7E1C70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C135C"/>
    <w:multiLevelType w:val="multilevel"/>
    <w:tmpl w:val="D8FE194E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B127D3"/>
    <w:multiLevelType w:val="multilevel"/>
    <w:tmpl w:val="3F78551A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40B0EC6"/>
    <w:multiLevelType w:val="multilevel"/>
    <w:tmpl w:val="3F78551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5417EFF"/>
    <w:multiLevelType w:val="hybridMultilevel"/>
    <w:tmpl w:val="318AC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135A8"/>
    <w:multiLevelType w:val="hybridMultilevel"/>
    <w:tmpl w:val="C74057B4"/>
    <w:lvl w:ilvl="0" w:tplc="93AEFB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021F4"/>
    <w:multiLevelType w:val="hybridMultilevel"/>
    <w:tmpl w:val="68B8D78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F5456"/>
    <w:multiLevelType w:val="hybridMultilevel"/>
    <w:tmpl w:val="7AA80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15"/>
  </w:num>
  <w:num w:numId="5">
    <w:abstractNumId w:val="25"/>
  </w:num>
  <w:num w:numId="6">
    <w:abstractNumId w:val="26"/>
  </w:num>
  <w:num w:numId="7">
    <w:abstractNumId w:val="23"/>
  </w:num>
  <w:num w:numId="8">
    <w:abstractNumId w:val="30"/>
  </w:num>
  <w:num w:numId="9">
    <w:abstractNumId w:val="0"/>
  </w:num>
  <w:num w:numId="10">
    <w:abstractNumId w:val="22"/>
  </w:num>
  <w:num w:numId="11">
    <w:abstractNumId w:val="3"/>
  </w:num>
  <w:num w:numId="12">
    <w:abstractNumId w:val="1"/>
  </w:num>
  <w:num w:numId="13">
    <w:abstractNumId w:val="20"/>
  </w:num>
  <w:num w:numId="14">
    <w:abstractNumId w:val="16"/>
  </w:num>
  <w:num w:numId="15">
    <w:abstractNumId w:val="7"/>
  </w:num>
  <w:num w:numId="16">
    <w:abstractNumId w:val="24"/>
  </w:num>
  <w:num w:numId="17">
    <w:abstractNumId w:val="6"/>
  </w:num>
  <w:num w:numId="18">
    <w:abstractNumId w:val="2"/>
  </w:num>
  <w:num w:numId="19">
    <w:abstractNumId w:val="17"/>
  </w:num>
  <w:num w:numId="20">
    <w:abstractNumId w:val="5"/>
  </w:num>
  <w:num w:numId="21">
    <w:abstractNumId w:val="18"/>
  </w:num>
  <w:num w:numId="22">
    <w:abstractNumId w:val="29"/>
  </w:num>
  <w:num w:numId="23">
    <w:abstractNumId w:val="13"/>
  </w:num>
  <w:num w:numId="24">
    <w:abstractNumId w:val="27"/>
  </w:num>
  <w:num w:numId="25">
    <w:abstractNumId w:val="4"/>
  </w:num>
  <w:num w:numId="26">
    <w:abstractNumId w:val="14"/>
  </w:num>
  <w:num w:numId="27">
    <w:abstractNumId w:val="31"/>
  </w:num>
  <w:num w:numId="28">
    <w:abstractNumId w:val="28"/>
  </w:num>
  <w:num w:numId="29">
    <w:abstractNumId w:val="33"/>
  </w:num>
  <w:num w:numId="30">
    <w:abstractNumId w:val="19"/>
  </w:num>
  <w:num w:numId="31">
    <w:abstractNumId w:val="9"/>
  </w:num>
  <w:num w:numId="32">
    <w:abstractNumId w:val="11"/>
  </w:num>
  <w:num w:numId="33">
    <w:abstractNumId w:val="1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23"/>
    <w:rsid w:val="00002A47"/>
    <w:rsid w:val="000032EC"/>
    <w:rsid w:val="0000451D"/>
    <w:rsid w:val="00004EE1"/>
    <w:rsid w:val="00005837"/>
    <w:rsid w:val="00007EFE"/>
    <w:rsid w:val="00010823"/>
    <w:rsid w:val="000119A0"/>
    <w:rsid w:val="00012D2A"/>
    <w:rsid w:val="000130B9"/>
    <w:rsid w:val="00013FBB"/>
    <w:rsid w:val="00014AF4"/>
    <w:rsid w:val="0001741B"/>
    <w:rsid w:val="00020F24"/>
    <w:rsid w:val="0002156A"/>
    <w:rsid w:val="000226D2"/>
    <w:rsid w:val="000233AA"/>
    <w:rsid w:val="00024728"/>
    <w:rsid w:val="00024885"/>
    <w:rsid w:val="00025392"/>
    <w:rsid w:val="00025C9C"/>
    <w:rsid w:val="00025EF6"/>
    <w:rsid w:val="000260FE"/>
    <w:rsid w:val="000261AB"/>
    <w:rsid w:val="00030DB4"/>
    <w:rsid w:val="00031B6F"/>
    <w:rsid w:val="00032A72"/>
    <w:rsid w:val="0003385F"/>
    <w:rsid w:val="00033BEC"/>
    <w:rsid w:val="00034E4F"/>
    <w:rsid w:val="0003551E"/>
    <w:rsid w:val="0003672D"/>
    <w:rsid w:val="00037941"/>
    <w:rsid w:val="000404FE"/>
    <w:rsid w:val="00040FEF"/>
    <w:rsid w:val="00042115"/>
    <w:rsid w:val="00043308"/>
    <w:rsid w:val="0004379E"/>
    <w:rsid w:val="0004614D"/>
    <w:rsid w:val="000478F6"/>
    <w:rsid w:val="000519C4"/>
    <w:rsid w:val="00051C02"/>
    <w:rsid w:val="0005312B"/>
    <w:rsid w:val="00054D9B"/>
    <w:rsid w:val="000570E6"/>
    <w:rsid w:val="000570FA"/>
    <w:rsid w:val="0006034A"/>
    <w:rsid w:val="00060819"/>
    <w:rsid w:val="000608E7"/>
    <w:rsid w:val="00061176"/>
    <w:rsid w:val="00061787"/>
    <w:rsid w:val="0006209A"/>
    <w:rsid w:val="000623A6"/>
    <w:rsid w:val="00062C66"/>
    <w:rsid w:val="00064473"/>
    <w:rsid w:val="000654F4"/>
    <w:rsid w:val="00065EEA"/>
    <w:rsid w:val="00066766"/>
    <w:rsid w:val="00067878"/>
    <w:rsid w:val="000701C7"/>
    <w:rsid w:val="0007082A"/>
    <w:rsid w:val="0007090C"/>
    <w:rsid w:val="0007111B"/>
    <w:rsid w:val="00071E5F"/>
    <w:rsid w:val="00072A80"/>
    <w:rsid w:val="00072E68"/>
    <w:rsid w:val="0007314A"/>
    <w:rsid w:val="00073EA6"/>
    <w:rsid w:val="0007410A"/>
    <w:rsid w:val="00075190"/>
    <w:rsid w:val="0007540B"/>
    <w:rsid w:val="00076C17"/>
    <w:rsid w:val="00076F95"/>
    <w:rsid w:val="00081F0E"/>
    <w:rsid w:val="00083707"/>
    <w:rsid w:val="00085A23"/>
    <w:rsid w:val="0008625E"/>
    <w:rsid w:val="000864B0"/>
    <w:rsid w:val="0008740C"/>
    <w:rsid w:val="000878CB"/>
    <w:rsid w:val="000908DB"/>
    <w:rsid w:val="00091001"/>
    <w:rsid w:val="00091365"/>
    <w:rsid w:val="00092C01"/>
    <w:rsid w:val="00092D64"/>
    <w:rsid w:val="00093931"/>
    <w:rsid w:val="00093FFA"/>
    <w:rsid w:val="000947E8"/>
    <w:rsid w:val="00096CD2"/>
    <w:rsid w:val="0009738A"/>
    <w:rsid w:val="00097F78"/>
    <w:rsid w:val="000A0054"/>
    <w:rsid w:val="000A0206"/>
    <w:rsid w:val="000A095D"/>
    <w:rsid w:val="000A12F1"/>
    <w:rsid w:val="000A2D93"/>
    <w:rsid w:val="000A3AB2"/>
    <w:rsid w:val="000A3CCC"/>
    <w:rsid w:val="000A4AD5"/>
    <w:rsid w:val="000A4E08"/>
    <w:rsid w:val="000A6DD3"/>
    <w:rsid w:val="000B0061"/>
    <w:rsid w:val="000B08E2"/>
    <w:rsid w:val="000B17D0"/>
    <w:rsid w:val="000B3548"/>
    <w:rsid w:val="000B4469"/>
    <w:rsid w:val="000B5361"/>
    <w:rsid w:val="000B5553"/>
    <w:rsid w:val="000B6FC3"/>
    <w:rsid w:val="000B7AD2"/>
    <w:rsid w:val="000C0D02"/>
    <w:rsid w:val="000C1428"/>
    <w:rsid w:val="000C2E26"/>
    <w:rsid w:val="000C34AF"/>
    <w:rsid w:val="000C59A2"/>
    <w:rsid w:val="000C59EF"/>
    <w:rsid w:val="000D3B0E"/>
    <w:rsid w:val="000D3D67"/>
    <w:rsid w:val="000D50BF"/>
    <w:rsid w:val="000D5E44"/>
    <w:rsid w:val="000D5FB6"/>
    <w:rsid w:val="000D649C"/>
    <w:rsid w:val="000D696C"/>
    <w:rsid w:val="000D6BB7"/>
    <w:rsid w:val="000D714C"/>
    <w:rsid w:val="000D737C"/>
    <w:rsid w:val="000D77AA"/>
    <w:rsid w:val="000E25A4"/>
    <w:rsid w:val="000E3083"/>
    <w:rsid w:val="000E3AD9"/>
    <w:rsid w:val="000E4120"/>
    <w:rsid w:val="000E48CF"/>
    <w:rsid w:val="000E4FED"/>
    <w:rsid w:val="000E7DFB"/>
    <w:rsid w:val="000F04C9"/>
    <w:rsid w:val="000F0BE9"/>
    <w:rsid w:val="000F135E"/>
    <w:rsid w:val="000F1715"/>
    <w:rsid w:val="000F194B"/>
    <w:rsid w:val="000F2FFA"/>
    <w:rsid w:val="000F3310"/>
    <w:rsid w:val="000F34FB"/>
    <w:rsid w:val="000F3CC4"/>
    <w:rsid w:val="000F4D2E"/>
    <w:rsid w:val="0010007C"/>
    <w:rsid w:val="00100375"/>
    <w:rsid w:val="00100F61"/>
    <w:rsid w:val="001013F9"/>
    <w:rsid w:val="00101C53"/>
    <w:rsid w:val="001029BF"/>
    <w:rsid w:val="00103947"/>
    <w:rsid w:val="00103A68"/>
    <w:rsid w:val="00103D85"/>
    <w:rsid w:val="001052D7"/>
    <w:rsid w:val="00106491"/>
    <w:rsid w:val="0011196D"/>
    <w:rsid w:val="00112058"/>
    <w:rsid w:val="00112527"/>
    <w:rsid w:val="00113999"/>
    <w:rsid w:val="00113DEC"/>
    <w:rsid w:val="00114C18"/>
    <w:rsid w:val="00116390"/>
    <w:rsid w:val="00117010"/>
    <w:rsid w:val="00122C10"/>
    <w:rsid w:val="0012409F"/>
    <w:rsid w:val="001240ED"/>
    <w:rsid w:val="00124597"/>
    <w:rsid w:val="00126197"/>
    <w:rsid w:val="001262B9"/>
    <w:rsid w:val="00127C95"/>
    <w:rsid w:val="00130898"/>
    <w:rsid w:val="00131051"/>
    <w:rsid w:val="001333BC"/>
    <w:rsid w:val="0013452D"/>
    <w:rsid w:val="0013467E"/>
    <w:rsid w:val="00134AAF"/>
    <w:rsid w:val="00135E2D"/>
    <w:rsid w:val="00136398"/>
    <w:rsid w:val="00136EBD"/>
    <w:rsid w:val="00142DD1"/>
    <w:rsid w:val="00143349"/>
    <w:rsid w:val="00143679"/>
    <w:rsid w:val="00143AD1"/>
    <w:rsid w:val="001441F6"/>
    <w:rsid w:val="00144763"/>
    <w:rsid w:val="00150BA9"/>
    <w:rsid w:val="00151660"/>
    <w:rsid w:val="0015194B"/>
    <w:rsid w:val="00153387"/>
    <w:rsid w:val="001542CD"/>
    <w:rsid w:val="001547E2"/>
    <w:rsid w:val="00154B75"/>
    <w:rsid w:val="001556F2"/>
    <w:rsid w:val="00156409"/>
    <w:rsid w:val="00156552"/>
    <w:rsid w:val="00160C64"/>
    <w:rsid w:val="00160F36"/>
    <w:rsid w:val="001618D6"/>
    <w:rsid w:val="00161E19"/>
    <w:rsid w:val="0016281D"/>
    <w:rsid w:val="00165366"/>
    <w:rsid w:val="00165ADF"/>
    <w:rsid w:val="00165CBB"/>
    <w:rsid w:val="00166CAD"/>
    <w:rsid w:val="00170CEE"/>
    <w:rsid w:val="0017135D"/>
    <w:rsid w:val="00171FB7"/>
    <w:rsid w:val="0017237D"/>
    <w:rsid w:val="00174398"/>
    <w:rsid w:val="00177448"/>
    <w:rsid w:val="00180758"/>
    <w:rsid w:val="0018222F"/>
    <w:rsid w:val="00184311"/>
    <w:rsid w:val="00184B1E"/>
    <w:rsid w:val="00184D97"/>
    <w:rsid w:val="00185072"/>
    <w:rsid w:val="00185F2D"/>
    <w:rsid w:val="00186FD3"/>
    <w:rsid w:val="0019188E"/>
    <w:rsid w:val="00192A6C"/>
    <w:rsid w:val="001931F9"/>
    <w:rsid w:val="00194459"/>
    <w:rsid w:val="0019474B"/>
    <w:rsid w:val="00194DA9"/>
    <w:rsid w:val="00194F40"/>
    <w:rsid w:val="00196C5D"/>
    <w:rsid w:val="00197463"/>
    <w:rsid w:val="00197BC6"/>
    <w:rsid w:val="001A0051"/>
    <w:rsid w:val="001A1784"/>
    <w:rsid w:val="001A18BB"/>
    <w:rsid w:val="001A23FE"/>
    <w:rsid w:val="001A36DA"/>
    <w:rsid w:val="001A410A"/>
    <w:rsid w:val="001A5062"/>
    <w:rsid w:val="001A59F4"/>
    <w:rsid w:val="001A6922"/>
    <w:rsid w:val="001A6C01"/>
    <w:rsid w:val="001A79C2"/>
    <w:rsid w:val="001B0148"/>
    <w:rsid w:val="001B07C5"/>
    <w:rsid w:val="001B12DB"/>
    <w:rsid w:val="001B2BAB"/>
    <w:rsid w:val="001B2F91"/>
    <w:rsid w:val="001B35AF"/>
    <w:rsid w:val="001B7338"/>
    <w:rsid w:val="001B73F4"/>
    <w:rsid w:val="001B7A3D"/>
    <w:rsid w:val="001C1D10"/>
    <w:rsid w:val="001C36B5"/>
    <w:rsid w:val="001C3BC0"/>
    <w:rsid w:val="001C423E"/>
    <w:rsid w:val="001C44E7"/>
    <w:rsid w:val="001C75EE"/>
    <w:rsid w:val="001C7E95"/>
    <w:rsid w:val="001D04B2"/>
    <w:rsid w:val="001D0A56"/>
    <w:rsid w:val="001D1C0F"/>
    <w:rsid w:val="001D214D"/>
    <w:rsid w:val="001D3B1F"/>
    <w:rsid w:val="001D3E55"/>
    <w:rsid w:val="001D4A31"/>
    <w:rsid w:val="001E01FD"/>
    <w:rsid w:val="001E1285"/>
    <w:rsid w:val="001E1C38"/>
    <w:rsid w:val="001E3374"/>
    <w:rsid w:val="001E3A79"/>
    <w:rsid w:val="001E3C0A"/>
    <w:rsid w:val="001E4B90"/>
    <w:rsid w:val="001F0290"/>
    <w:rsid w:val="001F1679"/>
    <w:rsid w:val="001F2EE3"/>
    <w:rsid w:val="001F4335"/>
    <w:rsid w:val="001F44F6"/>
    <w:rsid w:val="001F459A"/>
    <w:rsid w:val="001F5683"/>
    <w:rsid w:val="001F6380"/>
    <w:rsid w:val="001F6601"/>
    <w:rsid w:val="001F6959"/>
    <w:rsid w:val="001F7C2A"/>
    <w:rsid w:val="00201963"/>
    <w:rsid w:val="00201CE6"/>
    <w:rsid w:val="002024BB"/>
    <w:rsid w:val="00202632"/>
    <w:rsid w:val="00202D70"/>
    <w:rsid w:val="00202E9A"/>
    <w:rsid w:val="002045C4"/>
    <w:rsid w:val="00205BE0"/>
    <w:rsid w:val="00207208"/>
    <w:rsid w:val="00207747"/>
    <w:rsid w:val="002105EF"/>
    <w:rsid w:val="00211D9A"/>
    <w:rsid w:val="00213695"/>
    <w:rsid w:val="00214014"/>
    <w:rsid w:val="00214AF2"/>
    <w:rsid w:val="00214C84"/>
    <w:rsid w:val="00215187"/>
    <w:rsid w:val="002155D3"/>
    <w:rsid w:val="00215786"/>
    <w:rsid w:val="00215CD5"/>
    <w:rsid w:val="00216257"/>
    <w:rsid w:val="00217BC1"/>
    <w:rsid w:val="00220D27"/>
    <w:rsid w:val="002211AC"/>
    <w:rsid w:val="00221B8F"/>
    <w:rsid w:val="00221D81"/>
    <w:rsid w:val="00221FC0"/>
    <w:rsid w:val="00222B22"/>
    <w:rsid w:val="002236F9"/>
    <w:rsid w:val="00223A30"/>
    <w:rsid w:val="00223E6E"/>
    <w:rsid w:val="00224321"/>
    <w:rsid w:val="00224658"/>
    <w:rsid w:val="0022529C"/>
    <w:rsid w:val="002254D7"/>
    <w:rsid w:val="00225909"/>
    <w:rsid w:val="00226846"/>
    <w:rsid w:val="00226A39"/>
    <w:rsid w:val="00227655"/>
    <w:rsid w:val="00227ACA"/>
    <w:rsid w:val="002307DA"/>
    <w:rsid w:val="00233A6F"/>
    <w:rsid w:val="00233E0C"/>
    <w:rsid w:val="00234CF2"/>
    <w:rsid w:val="0023522C"/>
    <w:rsid w:val="00235EBC"/>
    <w:rsid w:val="00235F2D"/>
    <w:rsid w:val="002366A6"/>
    <w:rsid w:val="00236708"/>
    <w:rsid w:val="00237119"/>
    <w:rsid w:val="002371EF"/>
    <w:rsid w:val="00237346"/>
    <w:rsid w:val="00237EAC"/>
    <w:rsid w:val="00237ECB"/>
    <w:rsid w:val="002404FD"/>
    <w:rsid w:val="002450E1"/>
    <w:rsid w:val="00254458"/>
    <w:rsid w:val="00255F80"/>
    <w:rsid w:val="002574D2"/>
    <w:rsid w:val="002601F9"/>
    <w:rsid w:val="00260D4F"/>
    <w:rsid w:val="00260EDD"/>
    <w:rsid w:val="00261C23"/>
    <w:rsid w:val="00261F68"/>
    <w:rsid w:val="0026267D"/>
    <w:rsid w:val="00264979"/>
    <w:rsid w:val="002650AD"/>
    <w:rsid w:val="00265426"/>
    <w:rsid w:val="002663A9"/>
    <w:rsid w:val="0026711D"/>
    <w:rsid w:val="00267B19"/>
    <w:rsid w:val="00267D49"/>
    <w:rsid w:val="00271987"/>
    <w:rsid w:val="002720FA"/>
    <w:rsid w:val="00274B98"/>
    <w:rsid w:val="00275242"/>
    <w:rsid w:val="00275B84"/>
    <w:rsid w:val="00275C65"/>
    <w:rsid w:val="00276577"/>
    <w:rsid w:val="002767DF"/>
    <w:rsid w:val="00276984"/>
    <w:rsid w:val="00277A1F"/>
    <w:rsid w:val="002812D5"/>
    <w:rsid w:val="00282C1B"/>
    <w:rsid w:val="00283689"/>
    <w:rsid w:val="0028401A"/>
    <w:rsid w:val="002840FF"/>
    <w:rsid w:val="00285243"/>
    <w:rsid w:val="00285727"/>
    <w:rsid w:val="00286ADE"/>
    <w:rsid w:val="00286E9A"/>
    <w:rsid w:val="0029128A"/>
    <w:rsid w:val="002912A4"/>
    <w:rsid w:val="00291878"/>
    <w:rsid w:val="00293B7A"/>
    <w:rsid w:val="00294AA6"/>
    <w:rsid w:val="00294DF9"/>
    <w:rsid w:val="00295560"/>
    <w:rsid w:val="00295D6A"/>
    <w:rsid w:val="00296FEA"/>
    <w:rsid w:val="002A0DF7"/>
    <w:rsid w:val="002A2063"/>
    <w:rsid w:val="002A20BD"/>
    <w:rsid w:val="002A2432"/>
    <w:rsid w:val="002A3222"/>
    <w:rsid w:val="002A361D"/>
    <w:rsid w:val="002A44EC"/>
    <w:rsid w:val="002A58EA"/>
    <w:rsid w:val="002A5A4D"/>
    <w:rsid w:val="002A5E45"/>
    <w:rsid w:val="002A6CFD"/>
    <w:rsid w:val="002A710E"/>
    <w:rsid w:val="002A7FE8"/>
    <w:rsid w:val="002B264F"/>
    <w:rsid w:val="002B47E4"/>
    <w:rsid w:val="002B4EC4"/>
    <w:rsid w:val="002B526A"/>
    <w:rsid w:val="002B554F"/>
    <w:rsid w:val="002B69EF"/>
    <w:rsid w:val="002C2BF0"/>
    <w:rsid w:val="002C3905"/>
    <w:rsid w:val="002C3A65"/>
    <w:rsid w:val="002C4A89"/>
    <w:rsid w:val="002C52DA"/>
    <w:rsid w:val="002C5608"/>
    <w:rsid w:val="002C5C49"/>
    <w:rsid w:val="002C7463"/>
    <w:rsid w:val="002D1676"/>
    <w:rsid w:val="002D2D35"/>
    <w:rsid w:val="002D35AB"/>
    <w:rsid w:val="002D7989"/>
    <w:rsid w:val="002E00E4"/>
    <w:rsid w:val="002E0BB4"/>
    <w:rsid w:val="002E0D70"/>
    <w:rsid w:val="002E1CF6"/>
    <w:rsid w:val="002E23C6"/>
    <w:rsid w:val="002E2702"/>
    <w:rsid w:val="002E2908"/>
    <w:rsid w:val="002E3047"/>
    <w:rsid w:val="002E39AF"/>
    <w:rsid w:val="002E4682"/>
    <w:rsid w:val="002E4AE6"/>
    <w:rsid w:val="002E4F0C"/>
    <w:rsid w:val="002E60F0"/>
    <w:rsid w:val="002E72DF"/>
    <w:rsid w:val="002E7DF8"/>
    <w:rsid w:val="002F016B"/>
    <w:rsid w:val="002F0B66"/>
    <w:rsid w:val="002F12CD"/>
    <w:rsid w:val="002F15A8"/>
    <w:rsid w:val="002F2757"/>
    <w:rsid w:val="002F2BAC"/>
    <w:rsid w:val="002F3AD4"/>
    <w:rsid w:val="002F3EBD"/>
    <w:rsid w:val="002F4186"/>
    <w:rsid w:val="002F58A4"/>
    <w:rsid w:val="002F5BE8"/>
    <w:rsid w:val="00303396"/>
    <w:rsid w:val="0030588F"/>
    <w:rsid w:val="00306E9A"/>
    <w:rsid w:val="00310690"/>
    <w:rsid w:val="003120E8"/>
    <w:rsid w:val="00313052"/>
    <w:rsid w:val="00314BC1"/>
    <w:rsid w:val="00314CB5"/>
    <w:rsid w:val="00315F18"/>
    <w:rsid w:val="00316076"/>
    <w:rsid w:val="00317457"/>
    <w:rsid w:val="00317966"/>
    <w:rsid w:val="003204FA"/>
    <w:rsid w:val="00321554"/>
    <w:rsid w:val="003262AA"/>
    <w:rsid w:val="0033162C"/>
    <w:rsid w:val="003325CD"/>
    <w:rsid w:val="0033277E"/>
    <w:rsid w:val="00333A16"/>
    <w:rsid w:val="00333CB0"/>
    <w:rsid w:val="00334575"/>
    <w:rsid w:val="003347FD"/>
    <w:rsid w:val="0033577A"/>
    <w:rsid w:val="00335CCB"/>
    <w:rsid w:val="00337927"/>
    <w:rsid w:val="00340CBE"/>
    <w:rsid w:val="00341003"/>
    <w:rsid w:val="0034198A"/>
    <w:rsid w:val="0034299A"/>
    <w:rsid w:val="00342A43"/>
    <w:rsid w:val="00343A1C"/>
    <w:rsid w:val="00343DEB"/>
    <w:rsid w:val="00344736"/>
    <w:rsid w:val="00346A55"/>
    <w:rsid w:val="00347381"/>
    <w:rsid w:val="00350A0F"/>
    <w:rsid w:val="00350D93"/>
    <w:rsid w:val="00352CB3"/>
    <w:rsid w:val="00353101"/>
    <w:rsid w:val="00353A59"/>
    <w:rsid w:val="00353B22"/>
    <w:rsid w:val="00354D52"/>
    <w:rsid w:val="00355E6D"/>
    <w:rsid w:val="00360BED"/>
    <w:rsid w:val="00361032"/>
    <w:rsid w:val="00364912"/>
    <w:rsid w:val="00365B26"/>
    <w:rsid w:val="003714E5"/>
    <w:rsid w:val="00371A1A"/>
    <w:rsid w:val="003736F6"/>
    <w:rsid w:val="00373BBA"/>
    <w:rsid w:val="00373C14"/>
    <w:rsid w:val="00373C70"/>
    <w:rsid w:val="0037486E"/>
    <w:rsid w:val="003755AF"/>
    <w:rsid w:val="00375AA9"/>
    <w:rsid w:val="00375E37"/>
    <w:rsid w:val="003763D8"/>
    <w:rsid w:val="003773C9"/>
    <w:rsid w:val="0037772F"/>
    <w:rsid w:val="00381EFC"/>
    <w:rsid w:val="00383647"/>
    <w:rsid w:val="003861AD"/>
    <w:rsid w:val="00387CCC"/>
    <w:rsid w:val="00390570"/>
    <w:rsid w:val="00392346"/>
    <w:rsid w:val="003933B2"/>
    <w:rsid w:val="003936F7"/>
    <w:rsid w:val="0039402A"/>
    <w:rsid w:val="00396544"/>
    <w:rsid w:val="00397D50"/>
    <w:rsid w:val="003A0DB5"/>
    <w:rsid w:val="003A3EF3"/>
    <w:rsid w:val="003A5C4D"/>
    <w:rsid w:val="003A6ACF"/>
    <w:rsid w:val="003A79F8"/>
    <w:rsid w:val="003B1207"/>
    <w:rsid w:val="003B1CF8"/>
    <w:rsid w:val="003B3E9C"/>
    <w:rsid w:val="003B427C"/>
    <w:rsid w:val="003B4AA6"/>
    <w:rsid w:val="003B607D"/>
    <w:rsid w:val="003B6827"/>
    <w:rsid w:val="003B7C4A"/>
    <w:rsid w:val="003B7C72"/>
    <w:rsid w:val="003C3898"/>
    <w:rsid w:val="003C3900"/>
    <w:rsid w:val="003C5889"/>
    <w:rsid w:val="003C63B7"/>
    <w:rsid w:val="003D1859"/>
    <w:rsid w:val="003D4872"/>
    <w:rsid w:val="003D51F9"/>
    <w:rsid w:val="003D6903"/>
    <w:rsid w:val="003E0F95"/>
    <w:rsid w:val="003E3FE8"/>
    <w:rsid w:val="003E51AA"/>
    <w:rsid w:val="003E64EA"/>
    <w:rsid w:val="003E6A09"/>
    <w:rsid w:val="003E6BE7"/>
    <w:rsid w:val="003F0935"/>
    <w:rsid w:val="003F1888"/>
    <w:rsid w:val="003F2431"/>
    <w:rsid w:val="003F2EB4"/>
    <w:rsid w:val="003F31D2"/>
    <w:rsid w:val="003F6F84"/>
    <w:rsid w:val="003F77F7"/>
    <w:rsid w:val="00402E85"/>
    <w:rsid w:val="00403BC2"/>
    <w:rsid w:val="00404A40"/>
    <w:rsid w:val="004055B3"/>
    <w:rsid w:val="00405FCA"/>
    <w:rsid w:val="0041070E"/>
    <w:rsid w:val="00410FF2"/>
    <w:rsid w:val="00412838"/>
    <w:rsid w:val="0041570A"/>
    <w:rsid w:val="0041695F"/>
    <w:rsid w:val="0041741A"/>
    <w:rsid w:val="00422170"/>
    <w:rsid w:val="00422629"/>
    <w:rsid w:val="004228A8"/>
    <w:rsid w:val="00423F06"/>
    <w:rsid w:val="00424243"/>
    <w:rsid w:val="00424298"/>
    <w:rsid w:val="0042444A"/>
    <w:rsid w:val="00425B00"/>
    <w:rsid w:val="00426296"/>
    <w:rsid w:val="00430148"/>
    <w:rsid w:val="00431779"/>
    <w:rsid w:val="004334E4"/>
    <w:rsid w:val="0043448D"/>
    <w:rsid w:val="0043564A"/>
    <w:rsid w:val="00436912"/>
    <w:rsid w:val="00437232"/>
    <w:rsid w:val="004403D3"/>
    <w:rsid w:val="00440645"/>
    <w:rsid w:val="004418AD"/>
    <w:rsid w:val="00441BDB"/>
    <w:rsid w:val="00443628"/>
    <w:rsid w:val="00444578"/>
    <w:rsid w:val="0044480F"/>
    <w:rsid w:val="00444AA1"/>
    <w:rsid w:val="00445048"/>
    <w:rsid w:val="00446F64"/>
    <w:rsid w:val="004500BD"/>
    <w:rsid w:val="004524C1"/>
    <w:rsid w:val="00452B5D"/>
    <w:rsid w:val="00453161"/>
    <w:rsid w:val="00453474"/>
    <w:rsid w:val="00455237"/>
    <w:rsid w:val="00455FE5"/>
    <w:rsid w:val="0045692E"/>
    <w:rsid w:val="00460BB2"/>
    <w:rsid w:val="00461EB2"/>
    <w:rsid w:val="00462A12"/>
    <w:rsid w:val="00462B6F"/>
    <w:rsid w:val="0046321D"/>
    <w:rsid w:val="00463332"/>
    <w:rsid w:val="00465289"/>
    <w:rsid w:val="00467FFE"/>
    <w:rsid w:val="00472AA8"/>
    <w:rsid w:val="00472DDF"/>
    <w:rsid w:val="00473333"/>
    <w:rsid w:val="00474727"/>
    <w:rsid w:val="0047473A"/>
    <w:rsid w:val="00475920"/>
    <w:rsid w:val="0047595E"/>
    <w:rsid w:val="0047761B"/>
    <w:rsid w:val="00481334"/>
    <w:rsid w:val="004819CD"/>
    <w:rsid w:val="004841A0"/>
    <w:rsid w:val="0048431E"/>
    <w:rsid w:val="00484549"/>
    <w:rsid w:val="0048475D"/>
    <w:rsid w:val="004858B3"/>
    <w:rsid w:val="00485FE2"/>
    <w:rsid w:val="00486361"/>
    <w:rsid w:val="00486453"/>
    <w:rsid w:val="00486A6A"/>
    <w:rsid w:val="004874C5"/>
    <w:rsid w:val="00487D68"/>
    <w:rsid w:val="004902B4"/>
    <w:rsid w:val="00493208"/>
    <w:rsid w:val="00494489"/>
    <w:rsid w:val="00496BE4"/>
    <w:rsid w:val="00496F08"/>
    <w:rsid w:val="004A0478"/>
    <w:rsid w:val="004A054A"/>
    <w:rsid w:val="004A0AEB"/>
    <w:rsid w:val="004A0E66"/>
    <w:rsid w:val="004A0EA3"/>
    <w:rsid w:val="004A2CFD"/>
    <w:rsid w:val="004A2FC6"/>
    <w:rsid w:val="004A381E"/>
    <w:rsid w:val="004A53C9"/>
    <w:rsid w:val="004A6493"/>
    <w:rsid w:val="004A6684"/>
    <w:rsid w:val="004A7603"/>
    <w:rsid w:val="004A7C26"/>
    <w:rsid w:val="004A7EA8"/>
    <w:rsid w:val="004B2009"/>
    <w:rsid w:val="004B4E1C"/>
    <w:rsid w:val="004B4FD1"/>
    <w:rsid w:val="004B6155"/>
    <w:rsid w:val="004B626B"/>
    <w:rsid w:val="004B68AC"/>
    <w:rsid w:val="004B694E"/>
    <w:rsid w:val="004B78DB"/>
    <w:rsid w:val="004C1A3E"/>
    <w:rsid w:val="004C35C4"/>
    <w:rsid w:val="004C4174"/>
    <w:rsid w:val="004C6D18"/>
    <w:rsid w:val="004C7A93"/>
    <w:rsid w:val="004D1575"/>
    <w:rsid w:val="004D1C5D"/>
    <w:rsid w:val="004D2EC3"/>
    <w:rsid w:val="004D3F76"/>
    <w:rsid w:val="004D432B"/>
    <w:rsid w:val="004D46F9"/>
    <w:rsid w:val="004D4C52"/>
    <w:rsid w:val="004D77FD"/>
    <w:rsid w:val="004E09F0"/>
    <w:rsid w:val="004E149A"/>
    <w:rsid w:val="004E26B6"/>
    <w:rsid w:val="004E577E"/>
    <w:rsid w:val="004E67F7"/>
    <w:rsid w:val="004E70B5"/>
    <w:rsid w:val="004E741F"/>
    <w:rsid w:val="004F0E3E"/>
    <w:rsid w:val="004F1C1D"/>
    <w:rsid w:val="004F36C4"/>
    <w:rsid w:val="004F485A"/>
    <w:rsid w:val="004F57EE"/>
    <w:rsid w:val="004F78E0"/>
    <w:rsid w:val="004F7E58"/>
    <w:rsid w:val="00501C3B"/>
    <w:rsid w:val="005039BB"/>
    <w:rsid w:val="00504813"/>
    <w:rsid w:val="0050592B"/>
    <w:rsid w:val="00505A15"/>
    <w:rsid w:val="00506A2D"/>
    <w:rsid w:val="00507629"/>
    <w:rsid w:val="00510D84"/>
    <w:rsid w:val="005112BA"/>
    <w:rsid w:val="00511511"/>
    <w:rsid w:val="00511A68"/>
    <w:rsid w:val="00512A59"/>
    <w:rsid w:val="00513C63"/>
    <w:rsid w:val="00514BA8"/>
    <w:rsid w:val="00516207"/>
    <w:rsid w:val="0051696A"/>
    <w:rsid w:val="00516B25"/>
    <w:rsid w:val="005205DF"/>
    <w:rsid w:val="00520633"/>
    <w:rsid w:val="0052250D"/>
    <w:rsid w:val="0052381E"/>
    <w:rsid w:val="00526807"/>
    <w:rsid w:val="0053002A"/>
    <w:rsid w:val="00531103"/>
    <w:rsid w:val="005327E5"/>
    <w:rsid w:val="00536759"/>
    <w:rsid w:val="005367A5"/>
    <w:rsid w:val="005375A9"/>
    <w:rsid w:val="005407B8"/>
    <w:rsid w:val="005408F8"/>
    <w:rsid w:val="00541284"/>
    <w:rsid w:val="00541C65"/>
    <w:rsid w:val="00542866"/>
    <w:rsid w:val="0054475A"/>
    <w:rsid w:val="00545DF5"/>
    <w:rsid w:val="00547E56"/>
    <w:rsid w:val="005504EF"/>
    <w:rsid w:val="00550E43"/>
    <w:rsid w:val="00550E6E"/>
    <w:rsid w:val="00551713"/>
    <w:rsid w:val="00551789"/>
    <w:rsid w:val="005535E8"/>
    <w:rsid w:val="00554DB4"/>
    <w:rsid w:val="00556365"/>
    <w:rsid w:val="0055669D"/>
    <w:rsid w:val="005567AF"/>
    <w:rsid w:val="00557465"/>
    <w:rsid w:val="00557C76"/>
    <w:rsid w:val="0056089C"/>
    <w:rsid w:val="005612A0"/>
    <w:rsid w:val="00562613"/>
    <w:rsid w:val="00563F12"/>
    <w:rsid w:val="0056542B"/>
    <w:rsid w:val="00565EC8"/>
    <w:rsid w:val="00566190"/>
    <w:rsid w:val="005672A7"/>
    <w:rsid w:val="00570C2F"/>
    <w:rsid w:val="00571A94"/>
    <w:rsid w:val="0057265D"/>
    <w:rsid w:val="005728D1"/>
    <w:rsid w:val="005730F2"/>
    <w:rsid w:val="00574897"/>
    <w:rsid w:val="0057576E"/>
    <w:rsid w:val="00576E6D"/>
    <w:rsid w:val="00577671"/>
    <w:rsid w:val="005776F7"/>
    <w:rsid w:val="00582739"/>
    <w:rsid w:val="00582752"/>
    <w:rsid w:val="005836AE"/>
    <w:rsid w:val="00583E13"/>
    <w:rsid w:val="00587286"/>
    <w:rsid w:val="00587C68"/>
    <w:rsid w:val="00590413"/>
    <w:rsid w:val="0059229C"/>
    <w:rsid w:val="0059323F"/>
    <w:rsid w:val="0059499F"/>
    <w:rsid w:val="00595D8A"/>
    <w:rsid w:val="005A07D8"/>
    <w:rsid w:val="005A1631"/>
    <w:rsid w:val="005A1CAF"/>
    <w:rsid w:val="005A26A9"/>
    <w:rsid w:val="005A3476"/>
    <w:rsid w:val="005A481A"/>
    <w:rsid w:val="005A5D3E"/>
    <w:rsid w:val="005A702F"/>
    <w:rsid w:val="005A7573"/>
    <w:rsid w:val="005A7D35"/>
    <w:rsid w:val="005B2D04"/>
    <w:rsid w:val="005B482B"/>
    <w:rsid w:val="005B5683"/>
    <w:rsid w:val="005B602A"/>
    <w:rsid w:val="005C012C"/>
    <w:rsid w:val="005C0187"/>
    <w:rsid w:val="005C04DB"/>
    <w:rsid w:val="005C0647"/>
    <w:rsid w:val="005C1914"/>
    <w:rsid w:val="005C20FB"/>
    <w:rsid w:val="005C4CDC"/>
    <w:rsid w:val="005C66C6"/>
    <w:rsid w:val="005C6BF2"/>
    <w:rsid w:val="005C7A45"/>
    <w:rsid w:val="005C7ADB"/>
    <w:rsid w:val="005C7FC0"/>
    <w:rsid w:val="005D0AFA"/>
    <w:rsid w:val="005D35CC"/>
    <w:rsid w:val="005D4CF2"/>
    <w:rsid w:val="005D4D3D"/>
    <w:rsid w:val="005D535E"/>
    <w:rsid w:val="005D6849"/>
    <w:rsid w:val="005D7516"/>
    <w:rsid w:val="005D7D1D"/>
    <w:rsid w:val="005D7D7C"/>
    <w:rsid w:val="005E12D5"/>
    <w:rsid w:val="005E1705"/>
    <w:rsid w:val="005E387D"/>
    <w:rsid w:val="005E407B"/>
    <w:rsid w:val="005E4219"/>
    <w:rsid w:val="005E421D"/>
    <w:rsid w:val="005E4C17"/>
    <w:rsid w:val="005E4CD0"/>
    <w:rsid w:val="005E4CE6"/>
    <w:rsid w:val="005E4D03"/>
    <w:rsid w:val="005E53C0"/>
    <w:rsid w:val="005E625E"/>
    <w:rsid w:val="005F0853"/>
    <w:rsid w:val="005F0F5B"/>
    <w:rsid w:val="005F1F35"/>
    <w:rsid w:val="005F1F53"/>
    <w:rsid w:val="005F24F1"/>
    <w:rsid w:val="005F3469"/>
    <w:rsid w:val="005F3877"/>
    <w:rsid w:val="005F6DD7"/>
    <w:rsid w:val="005F79A1"/>
    <w:rsid w:val="005F7F26"/>
    <w:rsid w:val="006017D4"/>
    <w:rsid w:val="006017F1"/>
    <w:rsid w:val="00601F21"/>
    <w:rsid w:val="00602F8E"/>
    <w:rsid w:val="00602FAF"/>
    <w:rsid w:val="0060766C"/>
    <w:rsid w:val="00613D40"/>
    <w:rsid w:val="00613D90"/>
    <w:rsid w:val="00614170"/>
    <w:rsid w:val="00615695"/>
    <w:rsid w:val="00617E5E"/>
    <w:rsid w:val="006200AB"/>
    <w:rsid w:val="00620189"/>
    <w:rsid w:val="006212DB"/>
    <w:rsid w:val="006216DE"/>
    <w:rsid w:val="00622C5E"/>
    <w:rsid w:val="00623B5C"/>
    <w:rsid w:val="0062433D"/>
    <w:rsid w:val="00624EAE"/>
    <w:rsid w:val="006261CC"/>
    <w:rsid w:val="00626C48"/>
    <w:rsid w:val="006271DD"/>
    <w:rsid w:val="0062755F"/>
    <w:rsid w:val="006276E5"/>
    <w:rsid w:val="00627AB0"/>
    <w:rsid w:val="00631915"/>
    <w:rsid w:val="006320A6"/>
    <w:rsid w:val="0063613C"/>
    <w:rsid w:val="00637557"/>
    <w:rsid w:val="006404EA"/>
    <w:rsid w:val="00640DBB"/>
    <w:rsid w:val="00641296"/>
    <w:rsid w:val="00641C67"/>
    <w:rsid w:val="00641E2B"/>
    <w:rsid w:val="00642088"/>
    <w:rsid w:val="00642FAD"/>
    <w:rsid w:val="006434CF"/>
    <w:rsid w:val="006439C6"/>
    <w:rsid w:val="00644B88"/>
    <w:rsid w:val="0064536F"/>
    <w:rsid w:val="00645A3E"/>
    <w:rsid w:val="00645C59"/>
    <w:rsid w:val="006463E8"/>
    <w:rsid w:val="00646681"/>
    <w:rsid w:val="0064771D"/>
    <w:rsid w:val="00650700"/>
    <w:rsid w:val="00651210"/>
    <w:rsid w:val="00652800"/>
    <w:rsid w:val="006562BB"/>
    <w:rsid w:val="0065740D"/>
    <w:rsid w:val="00660316"/>
    <w:rsid w:val="0066072B"/>
    <w:rsid w:val="00661510"/>
    <w:rsid w:val="00663045"/>
    <w:rsid w:val="006634B3"/>
    <w:rsid w:val="00664D03"/>
    <w:rsid w:val="00664F16"/>
    <w:rsid w:val="0067018B"/>
    <w:rsid w:val="00671FE0"/>
    <w:rsid w:val="00675C04"/>
    <w:rsid w:val="00675C46"/>
    <w:rsid w:val="0067683E"/>
    <w:rsid w:val="00676C62"/>
    <w:rsid w:val="006774B0"/>
    <w:rsid w:val="0067765B"/>
    <w:rsid w:val="0068081A"/>
    <w:rsid w:val="00682175"/>
    <w:rsid w:val="00682F11"/>
    <w:rsid w:val="0068317C"/>
    <w:rsid w:val="00685BFC"/>
    <w:rsid w:val="00685D8D"/>
    <w:rsid w:val="00686F2D"/>
    <w:rsid w:val="00690A09"/>
    <w:rsid w:val="00690E7E"/>
    <w:rsid w:val="00691F1C"/>
    <w:rsid w:val="006922D2"/>
    <w:rsid w:val="0069381A"/>
    <w:rsid w:val="00694E49"/>
    <w:rsid w:val="0069540F"/>
    <w:rsid w:val="00696EA3"/>
    <w:rsid w:val="00697110"/>
    <w:rsid w:val="006A6529"/>
    <w:rsid w:val="006A6E92"/>
    <w:rsid w:val="006A773A"/>
    <w:rsid w:val="006B0580"/>
    <w:rsid w:val="006B0620"/>
    <w:rsid w:val="006B06F3"/>
    <w:rsid w:val="006B0B9E"/>
    <w:rsid w:val="006B0EA7"/>
    <w:rsid w:val="006B1385"/>
    <w:rsid w:val="006B1813"/>
    <w:rsid w:val="006B1942"/>
    <w:rsid w:val="006B35D2"/>
    <w:rsid w:val="006B3629"/>
    <w:rsid w:val="006B4770"/>
    <w:rsid w:val="006B4CA9"/>
    <w:rsid w:val="006B579B"/>
    <w:rsid w:val="006B5D78"/>
    <w:rsid w:val="006B79F8"/>
    <w:rsid w:val="006C0C85"/>
    <w:rsid w:val="006C104A"/>
    <w:rsid w:val="006C1E1C"/>
    <w:rsid w:val="006C3C4B"/>
    <w:rsid w:val="006C3F7A"/>
    <w:rsid w:val="006C49DF"/>
    <w:rsid w:val="006C5813"/>
    <w:rsid w:val="006C5EB8"/>
    <w:rsid w:val="006C6A2F"/>
    <w:rsid w:val="006D067D"/>
    <w:rsid w:val="006D26D3"/>
    <w:rsid w:val="006D26DB"/>
    <w:rsid w:val="006D2B33"/>
    <w:rsid w:val="006D3331"/>
    <w:rsid w:val="006D3D38"/>
    <w:rsid w:val="006D3F4A"/>
    <w:rsid w:val="006D5B63"/>
    <w:rsid w:val="006E03EC"/>
    <w:rsid w:val="006E07A8"/>
    <w:rsid w:val="006E2C3B"/>
    <w:rsid w:val="006E51B9"/>
    <w:rsid w:val="006E58BD"/>
    <w:rsid w:val="006E5D58"/>
    <w:rsid w:val="006F066A"/>
    <w:rsid w:val="006F1791"/>
    <w:rsid w:val="006F20B3"/>
    <w:rsid w:val="006F32A9"/>
    <w:rsid w:val="006F3E01"/>
    <w:rsid w:val="006F4F98"/>
    <w:rsid w:val="006F57C7"/>
    <w:rsid w:val="006F6C8F"/>
    <w:rsid w:val="007013A6"/>
    <w:rsid w:val="00703130"/>
    <w:rsid w:val="00703498"/>
    <w:rsid w:val="007044BF"/>
    <w:rsid w:val="00705372"/>
    <w:rsid w:val="007079E4"/>
    <w:rsid w:val="0071229B"/>
    <w:rsid w:val="0071343C"/>
    <w:rsid w:val="00713D33"/>
    <w:rsid w:val="00714A06"/>
    <w:rsid w:val="00714CFE"/>
    <w:rsid w:val="00715F9F"/>
    <w:rsid w:val="00717BFC"/>
    <w:rsid w:val="0072113F"/>
    <w:rsid w:val="00721ED3"/>
    <w:rsid w:val="0072249A"/>
    <w:rsid w:val="00725076"/>
    <w:rsid w:val="00725888"/>
    <w:rsid w:val="007260E6"/>
    <w:rsid w:val="00726FF0"/>
    <w:rsid w:val="00727BFD"/>
    <w:rsid w:val="007302BC"/>
    <w:rsid w:val="007305BD"/>
    <w:rsid w:val="0073074E"/>
    <w:rsid w:val="00731B86"/>
    <w:rsid w:val="00731FBD"/>
    <w:rsid w:val="00732318"/>
    <w:rsid w:val="00734854"/>
    <w:rsid w:val="00735713"/>
    <w:rsid w:val="00735AD7"/>
    <w:rsid w:val="00736605"/>
    <w:rsid w:val="0074085B"/>
    <w:rsid w:val="00740D0C"/>
    <w:rsid w:val="00741887"/>
    <w:rsid w:val="00742348"/>
    <w:rsid w:val="0074306D"/>
    <w:rsid w:val="00743B86"/>
    <w:rsid w:val="00746000"/>
    <w:rsid w:val="007516C0"/>
    <w:rsid w:val="00751733"/>
    <w:rsid w:val="007517F8"/>
    <w:rsid w:val="0075195A"/>
    <w:rsid w:val="0075330E"/>
    <w:rsid w:val="007536D9"/>
    <w:rsid w:val="0075429C"/>
    <w:rsid w:val="0075480C"/>
    <w:rsid w:val="00754EB7"/>
    <w:rsid w:val="00755EE1"/>
    <w:rsid w:val="00760743"/>
    <w:rsid w:val="00764936"/>
    <w:rsid w:val="00764D15"/>
    <w:rsid w:val="007653EE"/>
    <w:rsid w:val="00766274"/>
    <w:rsid w:val="0076678B"/>
    <w:rsid w:val="007669C6"/>
    <w:rsid w:val="0077092D"/>
    <w:rsid w:val="0077102E"/>
    <w:rsid w:val="00772EA3"/>
    <w:rsid w:val="007744E7"/>
    <w:rsid w:val="00774A3D"/>
    <w:rsid w:val="00775070"/>
    <w:rsid w:val="0077570E"/>
    <w:rsid w:val="00775B6C"/>
    <w:rsid w:val="00777415"/>
    <w:rsid w:val="0078036B"/>
    <w:rsid w:val="00781FA4"/>
    <w:rsid w:val="00782C80"/>
    <w:rsid w:val="00783733"/>
    <w:rsid w:val="007848A2"/>
    <w:rsid w:val="00785B90"/>
    <w:rsid w:val="0078617B"/>
    <w:rsid w:val="00790172"/>
    <w:rsid w:val="007939E8"/>
    <w:rsid w:val="0079420C"/>
    <w:rsid w:val="00794544"/>
    <w:rsid w:val="00794E67"/>
    <w:rsid w:val="0079526E"/>
    <w:rsid w:val="0079599A"/>
    <w:rsid w:val="007960FB"/>
    <w:rsid w:val="0079662A"/>
    <w:rsid w:val="007A08FA"/>
    <w:rsid w:val="007A1329"/>
    <w:rsid w:val="007A1B01"/>
    <w:rsid w:val="007A297C"/>
    <w:rsid w:val="007A2B21"/>
    <w:rsid w:val="007A69D7"/>
    <w:rsid w:val="007A6D3E"/>
    <w:rsid w:val="007A6D51"/>
    <w:rsid w:val="007B08C9"/>
    <w:rsid w:val="007B0ED0"/>
    <w:rsid w:val="007B39CA"/>
    <w:rsid w:val="007B4A6A"/>
    <w:rsid w:val="007B579B"/>
    <w:rsid w:val="007B7876"/>
    <w:rsid w:val="007B7935"/>
    <w:rsid w:val="007C1091"/>
    <w:rsid w:val="007C135D"/>
    <w:rsid w:val="007C21E3"/>
    <w:rsid w:val="007C3ABA"/>
    <w:rsid w:val="007C416F"/>
    <w:rsid w:val="007C428B"/>
    <w:rsid w:val="007C4680"/>
    <w:rsid w:val="007C6EB5"/>
    <w:rsid w:val="007C71E1"/>
    <w:rsid w:val="007C772C"/>
    <w:rsid w:val="007C7E45"/>
    <w:rsid w:val="007D0BCD"/>
    <w:rsid w:val="007D0E57"/>
    <w:rsid w:val="007D1AAB"/>
    <w:rsid w:val="007D37AD"/>
    <w:rsid w:val="007D4474"/>
    <w:rsid w:val="007D592D"/>
    <w:rsid w:val="007D62D3"/>
    <w:rsid w:val="007D7145"/>
    <w:rsid w:val="007D7D7E"/>
    <w:rsid w:val="007D7F21"/>
    <w:rsid w:val="007E1507"/>
    <w:rsid w:val="007E219A"/>
    <w:rsid w:val="007E222D"/>
    <w:rsid w:val="007E251E"/>
    <w:rsid w:val="007E3EA0"/>
    <w:rsid w:val="007E425C"/>
    <w:rsid w:val="007E46A9"/>
    <w:rsid w:val="007E6041"/>
    <w:rsid w:val="007E62DD"/>
    <w:rsid w:val="007E6463"/>
    <w:rsid w:val="007E7679"/>
    <w:rsid w:val="007E7BB9"/>
    <w:rsid w:val="007F1840"/>
    <w:rsid w:val="007F2E2C"/>
    <w:rsid w:val="007F2EEE"/>
    <w:rsid w:val="007F4DE7"/>
    <w:rsid w:val="007F5C07"/>
    <w:rsid w:val="007F75D2"/>
    <w:rsid w:val="007F7C64"/>
    <w:rsid w:val="007F7C90"/>
    <w:rsid w:val="00800B02"/>
    <w:rsid w:val="00801110"/>
    <w:rsid w:val="008018E0"/>
    <w:rsid w:val="008025F2"/>
    <w:rsid w:val="00802750"/>
    <w:rsid w:val="008042FA"/>
    <w:rsid w:val="00804467"/>
    <w:rsid w:val="00804698"/>
    <w:rsid w:val="00804931"/>
    <w:rsid w:val="00805E1D"/>
    <w:rsid w:val="0080602D"/>
    <w:rsid w:val="00806F11"/>
    <w:rsid w:val="008103B3"/>
    <w:rsid w:val="00810764"/>
    <w:rsid w:val="00811469"/>
    <w:rsid w:val="008155F8"/>
    <w:rsid w:val="00815895"/>
    <w:rsid w:val="00815D8B"/>
    <w:rsid w:val="00816A58"/>
    <w:rsid w:val="008172AB"/>
    <w:rsid w:val="008204C1"/>
    <w:rsid w:val="008207CB"/>
    <w:rsid w:val="00820B7E"/>
    <w:rsid w:val="00822E74"/>
    <w:rsid w:val="00823166"/>
    <w:rsid w:val="00823265"/>
    <w:rsid w:val="00824176"/>
    <w:rsid w:val="008263C1"/>
    <w:rsid w:val="00826CDD"/>
    <w:rsid w:val="008273DB"/>
    <w:rsid w:val="0083201D"/>
    <w:rsid w:val="00833285"/>
    <w:rsid w:val="00833470"/>
    <w:rsid w:val="00833E80"/>
    <w:rsid w:val="00834994"/>
    <w:rsid w:val="00834D45"/>
    <w:rsid w:val="00835E5D"/>
    <w:rsid w:val="008375EC"/>
    <w:rsid w:val="008403CF"/>
    <w:rsid w:val="008425A9"/>
    <w:rsid w:val="00843F49"/>
    <w:rsid w:val="008453D2"/>
    <w:rsid w:val="00845834"/>
    <w:rsid w:val="00845EFA"/>
    <w:rsid w:val="008467B5"/>
    <w:rsid w:val="0084727D"/>
    <w:rsid w:val="008478F2"/>
    <w:rsid w:val="00852173"/>
    <w:rsid w:val="008521F5"/>
    <w:rsid w:val="0085239F"/>
    <w:rsid w:val="00852A27"/>
    <w:rsid w:val="00853380"/>
    <w:rsid w:val="00861491"/>
    <w:rsid w:val="008638F2"/>
    <w:rsid w:val="00863C6A"/>
    <w:rsid w:val="00864827"/>
    <w:rsid w:val="00865337"/>
    <w:rsid w:val="00865C42"/>
    <w:rsid w:val="008670C8"/>
    <w:rsid w:val="00870823"/>
    <w:rsid w:val="0087188A"/>
    <w:rsid w:val="00871A08"/>
    <w:rsid w:val="0087254F"/>
    <w:rsid w:val="00872A76"/>
    <w:rsid w:val="00873E7F"/>
    <w:rsid w:val="008756A6"/>
    <w:rsid w:val="00875FD8"/>
    <w:rsid w:val="00876823"/>
    <w:rsid w:val="00876984"/>
    <w:rsid w:val="008821A9"/>
    <w:rsid w:val="00882CDE"/>
    <w:rsid w:val="008831BE"/>
    <w:rsid w:val="008834F7"/>
    <w:rsid w:val="0088410B"/>
    <w:rsid w:val="00884A3A"/>
    <w:rsid w:val="00884D43"/>
    <w:rsid w:val="00886960"/>
    <w:rsid w:val="0088727C"/>
    <w:rsid w:val="0088793B"/>
    <w:rsid w:val="0089120E"/>
    <w:rsid w:val="008918BA"/>
    <w:rsid w:val="008930FF"/>
    <w:rsid w:val="0089755F"/>
    <w:rsid w:val="008A010E"/>
    <w:rsid w:val="008A37A9"/>
    <w:rsid w:val="008A439A"/>
    <w:rsid w:val="008A4E7A"/>
    <w:rsid w:val="008A55E8"/>
    <w:rsid w:val="008A5676"/>
    <w:rsid w:val="008A6292"/>
    <w:rsid w:val="008A7C27"/>
    <w:rsid w:val="008B041E"/>
    <w:rsid w:val="008B0B48"/>
    <w:rsid w:val="008B0CD9"/>
    <w:rsid w:val="008B1F21"/>
    <w:rsid w:val="008B1FF6"/>
    <w:rsid w:val="008B4C7E"/>
    <w:rsid w:val="008B5264"/>
    <w:rsid w:val="008B5937"/>
    <w:rsid w:val="008B6B89"/>
    <w:rsid w:val="008B7276"/>
    <w:rsid w:val="008C0E5F"/>
    <w:rsid w:val="008C118E"/>
    <w:rsid w:val="008C251F"/>
    <w:rsid w:val="008C279E"/>
    <w:rsid w:val="008C330C"/>
    <w:rsid w:val="008C475C"/>
    <w:rsid w:val="008C478F"/>
    <w:rsid w:val="008C4B5A"/>
    <w:rsid w:val="008C504A"/>
    <w:rsid w:val="008C5E5C"/>
    <w:rsid w:val="008C7529"/>
    <w:rsid w:val="008C7538"/>
    <w:rsid w:val="008C7608"/>
    <w:rsid w:val="008D06F8"/>
    <w:rsid w:val="008D2B4C"/>
    <w:rsid w:val="008D4058"/>
    <w:rsid w:val="008D468D"/>
    <w:rsid w:val="008D59E7"/>
    <w:rsid w:val="008D6637"/>
    <w:rsid w:val="008D7CB0"/>
    <w:rsid w:val="008E21C7"/>
    <w:rsid w:val="008E24DD"/>
    <w:rsid w:val="008E2BF7"/>
    <w:rsid w:val="008E2EE5"/>
    <w:rsid w:val="008E4E27"/>
    <w:rsid w:val="008E5598"/>
    <w:rsid w:val="008E66AD"/>
    <w:rsid w:val="008F06FB"/>
    <w:rsid w:val="008F0F14"/>
    <w:rsid w:val="008F13CD"/>
    <w:rsid w:val="008F1BCD"/>
    <w:rsid w:val="008F2A32"/>
    <w:rsid w:val="008F3417"/>
    <w:rsid w:val="008F3458"/>
    <w:rsid w:val="008F4355"/>
    <w:rsid w:val="008F4CCC"/>
    <w:rsid w:val="008F5929"/>
    <w:rsid w:val="008F61A3"/>
    <w:rsid w:val="008F68B2"/>
    <w:rsid w:val="008F74B5"/>
    <w:rsid w:val="00900E52"/>
    <w:rsid w:val="00901321"/>
    <w:rsid w:val="00902E53"/>
    <w:rsid w:val="00903962"/>
    <w:rsid w:val="00905520"/>
    <w:rsid w:val="00905521"/>
    <w:rsid w:val="009079ED"/>
    <w:rsid w:val="00911B8E"/>
    <w:rsid w:val="00912011"/>
    <w:rsid w:val="00914CFC"/>
    <w:rsid w:val="00916EDD"/>
    <w:rsid w:val="009171C6"/>
    <w:rsid w:val="0091726D"/>
    <w:rsid w:val="00920479"/>
    <w:rsid w:val="00921027"/>
    <w:rsid w:val="009211D7"/>
    <w:rsid w:val="00921F1B"/>
    <w:rsid w:val="00922077"/>
    <w:rsid w:val="0092212C"/>
    <w:rsid w:val="00922A57"/>
    <w:rsid w:val="009238B0"/>
    <w:rsid w:val="00924B7E"/>
    <w:rsid w:val="00924CCD"/>
    <w:rsid w:val="00925B75"/>
    <w:rsid w:val="00926E39"/>
    <w:rsid w:val="009274A0"/>
    <w:rsid w:val="009317A6"/>
    <w:rsid w:val="00931BEC"/>
    <w:rsid w:val="0093294C"/>
    <w:rsid w:val="00935240"/>
    <w:rsid w:val="0093533F"/>
    <w:rsid w:val="009353C0"/>
    <w:rsid w:val="00940EF0"/>
    <w:rsid w:val="0094154E"/>
    <w:rsid w:val="0094281B"/>
    <w:rsid w:val="00943989"/>
    <w:rsid w:val="009449C2"/>
    <w:rsid w:val="00945227"/>
    <w:rsid w:val="00945704"/>
    <w:rsid w:val="009506EB"/>
    <w:rsid w:val="00950CE9"/>
    <w:rsid w:val="0095380C"/>
    <w:rsid w:val="00953B28"/>
    <w:rsid w:val="00954595"/>
    <w:rsid w:val="00956849"/>
    <w:rsid w:val="00957911"/>
    <w:rsid w:val="00957E29"/>
    <w:rsid w:val="00960BF7"/>
    <w:rsid w:val="00962485"/>
    <w:rsid w:val="00963AD2"/>
    <w:rsid w:val="00964C41"/>
    <w:rsid w:val="00965D49"/>
    <w:rsid w:val="009675C0"/>
    <w:rsid w:val="0097079A"/>
    <w:rsid w:val="009729E6"/>
    <w:rsid w:val="00973792"/>
    <w:rsid w:val="00973E48"/>
    <w:rsid w:val="009760FC"/>
    <w:rsid w:val="00977228"/>
    <w:rsid w:val="0097750D"/>
    <w:rsid w:val="00980D90"/>
    <w:rsid w:val="00980D92"/>
    <w:rsid w:val="009819C4"/>
    <w:rsid w:val="00981CF1"/>
    <w:rsid w:val="0098214E"/>
    <w:rsid w:val="0098354A"/>
    <w:rsid w:val="00986B33"/>
    <w:rsid w:val="00986B39"/>
    <w:rsid w:val="00987300"/>
    <w:rsid w:val="00987319"/>
    <w:rsid w:val="00990D70"/>
    <w:rsid w:val="00991DB2"/>
    <w:rsid w:val="0099481B"/>
    <w:rsid w:val="009949AD"/>
    <w:rsid w:val="00995023"/>
    <w:rsid w:val="009950BE"/>
    <w:rsid w:val="00995FA7"/>
    <w:rsid w:val="009971CF"/>
    <w:rsid w:val="009A1084"/>
    <w:rsid w:val="009A11DA"/>
    <w:rsid w:val="009A1BA3"/>
    <w:rsid w:val="009A3A4C"/>
    <w:rsid w:val="009A42A4"/>
    <w:rsid w:val="009A4B10"/>
    <w:rsid w:val="009A50C3"/>
    <w:rsid w:val="009A5AFC"/>
    <w:rsid w:val="009A5EF4"/>
    <w:rsid w:val="009A6FBE"/>
    <w:rsid w:val="009A704D"/>
    <w:rsid w:val="009A7642"/>
    <w:rsid w:val="009A7C85"/>
    <w:rsid w:val="009B02ED"/>
    <w:rsid w:val="009B1597"/>
    <w:rsid w:val="009B2313"/>
    <w:rsid w:val="009B29A6"/>
    <w:rsid w:val="009B545F"/>
    <w:rsid w:val="009B5807"/>
    <w:rsid w:val="009B7FAB"/>
    <w:rsid w:val="009C18F5"/>
    <w:rsid w:val="009C3B48"/>
    <w:rsid w:val="009C5A98"/>
    <w:rsid w:val="009C5CCC"/>
    <w:rsid w:val="009C657A"/>
    <w:rsid w:val="009C726D"/>
    <w:rsid w:val="009C7309"/>
    <w:rsid w:val="009D05E6"/>
    <w:rsid w:val="009D1821"/>
    <w:rsid w:val="009D1B68"/>
    <w:rsid w:val="009D2183"/>
    <w:rsid w:val="009D2863"/>
    <w:rsid w:val="009D45EC"/>
    <w:rsid w:val="009D4C44"/>
    <w:rsid w:val="009D5B40"/>
    <w:rsid w:val="009D6F22"/>
    <w:rsid w:val="009D7989"/>
    <w:rsid w:val="009E0A8E"/>
    <w:rsid w:val="009E2172"/>
    <w:rsid w:val="009E2EDE"/>
    <w:rsid w:val="009E481D"/>
    <w:rsid w:val="009E60EE"/>
    <w:rsid w:val="009E6A7B"/>
    <w:rsid w:val="009E6DE2"/>
    <w:rsid w:val="009E70F1"/>
    <w:rsid w:val="009F0D46"/>
    <w:rsid w:val="009F2134"/>
    <w:rsid w:val="009F3E19"/>
    <w:rsid w:val="009F7048"/>
    <w:rsid w:val="009F78EA"/>
    <w:rsid w:val="009F7BB2"/>
    <w:rsid w:val="00A00CE6"/>
    <w:rsid w:val="00A00F94"/>
    <w:rsid w:val="00A01DD1"/>
    <w:rsid w:val="00A026A6"/>
    <w:rsid w:val="00A02E4A"/>
    <w:rsid w:val="00A0482D"/>
    <w:rsid w:val="00A049C6"/>
    <w:rsid w:val="00A04FA1"/>
    <w:rsid w:val="00A0604C"/>
    <w:rsid w:val="00A0647B"/>
    <w:rsid w:val="00A0709B"/>
    <w:rsid w:val="00A071E1"/>
    <w:rsid w:val="00A0778E"/>
    <w:rsid w:val="00A11B60"/>
    <w:rsid w:val="00A12297"/>
    <w:rsid w:val="00A1384E"/>
    <w:rsid w:val="00A13EE7"/>
    <w:rsid w:val="00A1536A"/>
    <w:rsid w:val="00A15785"/>
    <w:rsid w:val="00A16E04"/>
    <w:rsid w:val="00A1723F"/>
    <w:rsid w:val="00A20364"/>
    <w:rsid w:val="00A21455"/>
    <w:rsid w:val="00A218EE"/>
    <w:rsid w:val="00A21DF9"/>
    <w:rsid w:val="00A223D6"/>
    <w:rsid w:val="00A23B97"/>
    <w:rsid w:val="00A24CA2"/>
    <w:rsid w:val="00A25692"/>
    <w:rsid w:val="00A26336"/>
    <w:rsid w:val="00A26F5E"/>
    <w:rsid w:val="00A31818"/>
    <w:rsid w:val="00A31E7F"/>
    <w:rsid w:val="00A3348F"/>
    <w:rsid w:val="00A3503E"/>
    <w:rsid w:val="00A40EB2"/>
    <w:rsid w:val="00A410F0"/>
    <w:rsid w:val="00A41599"/>
    <w:rsid w:val="00A41965"/>
    <w:rsid w:val="00A419F7"/>
    <w:rsid w:val="00A42D81"/>
    <w:rsid w:val="00A455F8"/>
    <w:rsid w:val="00A47809"/>
    <w:rsid w:val="00A47A8C"/>
    <w:rsid w:val="00A47BB6"/>
    <w:rsid w:val="00A514F5"/>
    <w:rsid w:val="00A51BCB"/>
    <w:rsid w:val="00A5240D"/>
    <w:rsid w:val="00A527AB"/>
    <w:rsid w:val="00A53310"/>
    <w:rsid w:val="00A54CFD"/>
    <w:rsid w:val="00A54F99"/>
    <w:rsid w:val="00A55E04"/>
    <w:rsid w:val="00A57163"/>
    <w:rsid w:val="00A57FA7"/>
    <w:rsid w:val="00A60E26"/>
    <w:rsid w:val="00A61020"/>
    <w:rsid w:val="00A6261D"/>
    <w:rsid w:val="00A6374E"/>
    <w:rsid w:val="00A63AD1"/>
    <w:rsid w:val="00A64986"/>
    <w:rsid w:val="00A670ED"/>
    <w:rsid w:val="00A67ABA"/>
    <w:rsid w:val="00A67B51"/>
    <w:rsid w:val="00A707C8"/>
    <w:rsid w:val="00A7123C"/>
    <w:rsid w:val="00A71EF9"/>
    <w:rsid w:val="00A72E1F"/>
    <w:rsid w:val="00A73461"/>
    <w:rsid w:val="00A74A37"/>
    <w:rsid w:val="00A74A69"/>
    <w:rsid w:val="00A77FCA"/>
    <w:rsid w:val="00A807B8"/>
    <w:rsid w:val="00A838D2"/>
    <w:rsid w:val="00A8530F"/>
    <w:rsid w:val="00A85E08"/>
    <w:rsid w:val="00A87666"/>
    <w:rsid w:val="00A879DB"/>
    <w:rsid w:val="00A90CA0"/>
    <w:rsid w:val="00A90EC8"/>
    <w:rsid w:val="00A91441"/>
    <w:rsid w:val="00A91851"/>
    <w:rsid w:val="00A921FA"/>
    <w:rsid w:val="00A92259"/>
    <w:rsid w:val="00A93367"/>
    <w:rsid w:val="00A9348B"/>
    <w:rsid w:val="00A941B1"/>
    <w:rsid w:val="00A9558A"/>
    <w:rsid w:val="00A962D6"/>
    <w:rsid w:val="00A96AF8"/>
    <w:rsid w:val="00A96B29"/>
    <w:rsid w:val="00A97496"/>
    <w:rsid w:val="00AA070A"/>
    <w:rsid w:val="00AA0B2E"/>
    <w:rsid w:val="00AA204D"/>
    <w:rsid w:val="00AA226B"/>
    <w:rsid w:val="00AA27C7"/>
    <w:rsid w:val="00AA30AA"/>
    <w:rsid w:val="00AA488C"/>
    <w:rsid w:val="00AA6449"/>
    <w:rsid w:val="00AB01B3"/>
    <w:rsid w:val="00AB0547"/>
    <w:rsid w:val="00AB0B4C"/>
    <w:rsid w:val="00AB1105"/>
    <w:rsid w:val="00AB331F"/>
    <w:rsid w:val="00AB3E62"/>
    <w:rsid w:val="00AB4B4C"/>
    <w:rsid w:val="00AB696A"/>
    <w:rsid w:val="00AB6C89"/>
    <w:rsid w:val="00AB73F1"/>
    <w:rsid w:val="00AC0171"/>
    <w:rsid w:val="00AC1557"/>
    <w:rsid w:val="00AC37FC"/>
    <w:rsid w:val="00AD000F"/>
    <w:rsid w:val="00AD3FC4"/>
    <w:rsid w:val="00AD67D5"/>
    <w:rsid w:val="00AE0024"/>
    <w:rsid w:val="00AE091E"/>
    <w:rsid w:val="00AE0EED"/>
    <w:rsid w:val="00AE1D70"/>
    <w:rsid w:val="00AE2788"/>
    <w:rsid w:val="00AE488F"/>
    <w:rsid w:val="00AE7050"/>
    <w:rsid w:val="00AE7622"/>
    <w:rsid w:val="00AE7FE8"/>
    <w:rsid w:val="00AF0F92"/>
    <w:rsid w:val="00AF1740"/>
    <w:rsid w:val="00AF1950"/>
    <w:rsid w:val="00AF3102"/>
    <w:rsid w:val="00AF468E"/>
    <w:rsid w:val="00AF6E78"/>
    <w:rsid w:val="00AF7B35"/>
    <w:rsid w:val="00B00D1D"/>
    <w:rsid w:val="00B01611"/>
    <w:rsid w:val="00B02226"/>
    <w:rsid w:val="00B02B5D"/>
    <w:rsid w:val="00B04F3C"/>
    <w:rsid w:val="00B052AA"/>
    <w:rsid w:val="00B05C3C"/>
    <w:rsid w:val="00B0676B"/>
    <w:rsid w:val="00B075E9"/>
    <w:rsid w:val="00B122BD"/>
    <w:rsid w:val="00B129A8"/>
    <w:rsid w:val="00B12F16"/>
    <w:rsid w:val="00B156F1"/>
    <w:rsid w:val="00B16037"/>
    <w:rsid w:val="00B161CA"/>
    <w:rsid w:val="00B16326"/>
    <w:rsid w:val="00B16CB3"/>
    <w:rsid w:val="00B17120"/>
    <w:rsid w:val="00B174A2"/>
    <w:rsid w:val="00B174D5"/>
    <w:rsid w:val="00B17C27"/>
    <w:rsid w:val="00B20094"/>
    <w:rsid w:val="00B200C3"/>
    <w:rsid w:val="00B215E9"/>
    <w:rsid w:val="00B216CB"/>
    <w:rsid w:val="00B24918"/>
    <w:rsid w:val="00B24FE5"/>
    <w:rsid w:val="00B2674E"/>
    <w:rsid w:val="00B26B8E"/>
    <w:rsid w:val="00B276F2"/>
    <w:rsid w:val="00B27BF0"/>
    <w:rsid w:val="00B27E89"/>
    <w:rsid w:val="00B317BD"/>
    <w:rsid w:val="00B32044"/>
    <w:rsid w:val="00B32304"/>
    <w:rsid w:val="00B33DB0"/>
    <w:rsid w:val="00B358A9"/>
    <w:rsid w:val="00B363E0"/>
    <w:rsid w:val="00B40CB8"/>
    <w:rsid w:val="00B45164"/>
    <w:rsid w:val="00B4595D"/>
    <w:rsid w:val="00B5085D"/>
    <w:rsid w:val="00B50E68"/>
    <w:rsid w:val="00B52EC2"/>
    <w:rsid w:val="00B546DB"/>
    <w:rsid w:val="00B5602B"/>
    <w:rsid w:val="00B56223"/>
    <w:rsid w:val="00B619B3"/>
    <w:rsid w:val="00B61D6C"/>
    <w:rsid w:val="00B62B24"/>
    <w:rsid w:val="00B6350A"/>
    <w:rsid w:val="00B63BA5"/>
    <w:rsid w:val="00B63BB1"/>
    <w:rsid w:val="00B64E02"/>
    <w:rsid w:val="00B64F1A"/>
    <w:rsid w:val="00B65411"/>
    <w:rsid w:val="00B659F0"/>
    <w:rsid w:val="00B67C08"/>
    <w:rsid w:val="00B72097"/>
    <w:rsid w:val="00B73340"/>
    <w:rsid w:val="00B75E62"/>
    <w:rsid w:val="00B762A4"/>
    <w:rsid w:val="00B76743"/>
    <w:rsid w:val="00B76CDD"/>
    <w:rsid w:val="00B81145"/>
    <w:rsid w:val="00B81B6F"/>
    <w:rsid w:val="00B81DBC"/>
    <w:rsid w:val="00B81EBC"/>
    <w:rsid w:val="00B82B80"/>
    <w:rsid w:val="00B85F96"/>
    <w:rsid w:val="00B86939"/>
    <w:rsid w:val="00B90274"/>
    <w:rsid w:val="00B91E6E"/>
    <w:rsid w:val="00B92C6F"/>
    <w:rsid w:val="00B947EA"/>
    <w:rsid w:val="00B948BE"/>
    <w:rsid w:val="00B951D9"/>
    <w:rsid w:val="00B956C1"/>
    <w:rsid w:val="00B95CF0"/>
    <w:rsid w:val="00B963AD"/>
    <w:rsid w:val="00B9686F"/>
    <w:rsid w:val="00B97407"/>
    <w:rsid w:val="00BA1CBB"/>
    <w:rsid w:val="00BA3040"/>
    <w:rsid w:val="00BA5B98"/>
    <w:rsid w:val="00BA72AC"/>
    <w:rsid w:val="00BA7307"/>
    <w:rsid w:val="00BB06CB"/>
    <w:rsid w:val="00BB0D3F"/>
    <w:rsid w:val="00BB0E18"/>
    <w:rsid w:val="00BB1BA9"/>
    <w:rsid w:val="00BB5156"/>
    <w:rsid w:val="00BB781A"/>
    <w:rsid w:val="00BB7B64"/>
    <w:rsid w:val="00BC0BC2"/>
    <w:rsid w:val="00BC4900"/>
    <w:rsid w:val="00BC703A"/>
    <w:rsid w:val="00BC7D36"/>
    <w:rsid w:val="00BD0912"/>
    <w:rsid w:val="00BD14DD"/>
    <w:rsid w:val="00BD178C"/>
    <w:rsid w:val="00BD321E"/>
    <w:rsid w:val="00BD6639"/>
    <w:rsid w:val="00BD6AB8"/>
    <w:rsid w:val="00BD6DC6"/>
    <w:rsid w:val="00BD747B"/>
    <w:rsid w:val="00BE1FA2"/>
    <w:rsid w:val="00BE35F5"/>
    <w:rsid w:val="00BE4102"/>
    <w:rsid w:val="00BE46CA"/>
    <w:rsid w:val="00BE53B2"/>
    <w:rsid w:val="00BE5D8D"/>
    <w:rsid w:val="00BE5E0B"/>
    <w:rsid w:val="00BE7217"/>
    <w:rsid w:val="00BF04F2"/>
    <w:rsid w:val="00BF0B07"/>
    <w:rsid w:val="00BF146C"/>
    <w:rsid w:val="00BF15C7"/>
    <w:rsid w:val="00BF4134"/>
    <w:rsid w:val="00BF512C"/>
    <w:rsid w:val="00BF7A85"/>
    <w:rsid w:val="00C000D9"/>
    <w:rsid w:val="00C00321"/>
    <w:rsid w:val="00C011FF"/>
    <w:rsid w:val="00C0147D"/>
    <w:rsid w:val="00C01F80"/>
    <w:rsid w:val="00C03843"/>
    <w:rsid w:val="00C04A83"/>
    <w:rsid w:val="00C04AF9"/>
    <w:rsid w:val="00C04CCD"/>
    <w:rsid w:val="00C05B2D"/>
    <w:rsid w:val="00C06E36"/>
    <w:rsid w:val="00C06EAD"/>
    <w:rsid w:val="00C1085E"/>
    <w:rsid w:val="00C123CC"/>
    <w:rsid w:val="00C12804"/>
    <w:rsid w:val="00C13F06"/>
    <w:rsid w:val="00C16216"/>
    <w:rsid w:val="00C1637A"/>
    <w:rsid w:val="00C16BFF"/>
    <w:rsid w:val="00C17330"/>
    <w:rsid w:val="00C173DF"/>
    <w:rsid w:val="00C20E13"/>
    <w:rsid w:val="00C23458"/>
    <w:rsid w:val="00C25898"/>
    <w:rsid w:val="00C25D07"/>
    <w:rsid w:val="00C327FF"/>
    <w:rsid w:val="00C33768"/>
    <w:rsid w:val="00C34990"/>
    <w:rsid w:val="00C3515D"/>
    <w:rsid w:val="00C3676B"/>
    <w:rsid w:val="00C4123F"/>
    <w:rsid w:val="00C414D7"/>
    <w:rsid w:val="00C4204D"/>
    <w:rsid w:val="00C4207A"/>
    <w:rsid w:val="00C43A6F"/>
    <w:rsid w:val="00C45CCC"/>
    <w:rsid w:val="00C45DD9"/>
    <w:rsid w:val="00C46873"/>
    <w:rsid w:val="00C50231"/>
    <w:rsid w:val="00C54B65"/>
    <w:rsid w:val="00C55241"/>
    <w:rsid w:val="00C5533C"/>
    <w:rsid w:val="00C569A5"/>
    <w:rsid w:val="00C602FF"/>
    <w:rsid w:val="00C60BA0"/>
    <w:rsid w:val="00C60DE3"/>
    <w:rsid w:val="00C60E1D"/>
    <w:rsid w:val="00C643CD"/>
    <w:rsid w:val="00C64F28"/>
    <w:rsid w:val="00C66E65"/>
    <w:rsid w:val="00C66EB8"/>
    <w:rsid w:val="00C6700E"/>
    <w:rsid w:val="00C70048"/>
    <w:rsid w:val="00C7078D"/>
    <w:rsid w:val="00C7170E"/>
    <w:rsid w:val="00C72421"/>
    <w:rsid w:val="00C73D9F"/>
    <w:rsid w:val="00C74734"/>
    <w:rsid w:val="00C7502A"/>
    <w:rsid w:val="00C75648"/>
    <w:rsid w:val="00C76368"/>
    <w:rsid w:val="00C76582"/>
    <w:rsid w:val="00C76A11"/>
    <w:rsid w:val="00C7718F"/>
    <w:rsid w:val="00C80A60"/>
    <w:rsid w:val="00C8154A"/>
    <w:rsid w:val="00C82545"/>
    <w:rsid w:val="00C86D0B"/>
    <w:rsid w:val="00C87094"/>
    <w:rsid w:val="00C91191"/>
    <w:rsid w:val="00C92A4B"/>
    <w:rsid w:val="00C92EC6"/>
    <w:rsid w:val="00C92F28"/>
    <w:rsid w:val="00C93287"/>
    <w:rsid w:val="00C93918"/>
    <w:rsid w:val="00C93D40"/>
    <w:rsid w:val="00C9467B"/>
    <w:rsid w:val="00C94BAC"/>
    <w:rsid w:val="00C95886"/>
    <w:rsid w:val="00C964B0"/>
    <w:rsid w:val="00C97686"/>
    <w:rsid w:val="00CA11DE"/>
    <w:rsid w:val="00CA3A4D"/>
    <w:rsid w:val="00CA3B63"/>
    <w:rsid w:val="00CA4773"/>
    <w:rsid w:val="00CA5D5C"/>
    <w:rsid w:val="00CA679F"/>
    <w:rsid w:val="00CA6CA8"/>
    <w:rsid w:val="00CA6F9C"/>
    <w:rsid w:val="00CA7839"/>
    <w:rsid w:val="00CB0482"/>
    <w:rsid w:val="00CB2C20"/>
    <w:rsid w:val="00CB2D1F"/>
    <w:rsid w:val="00CB30B3"/>
    <w:rsid w:val="00CB5438"/>
    <w:rsid w:val="00CB58AD"/>
    <w:rsid w:val="00CB598B"/>
    <w:rsid w:val="00CB5B3E"/>
    <w:rsid w:val="00CB5F73"/>
    <w:rsid w:val="00CB7B26"/>
    <w:rsid w:val="00CC0B54"/>
    <w:rsid w:val="00CC2540"/>
    <w:rsid w:val="00CC2DD0"/>
    <w:rsid w:val="00CC3B21"/>
    <w:rsid w:val="00CC3DC4"/>
    <w:rsid w:val="00CC5600"/>
    <w:rsid w:val="00CC680C"/>
    <w:rsid w:val="00CC7BB8"/>
    <w:rsid w:val="00CD1523"/>
    <w:rsid w:val="00CD1CA8"/>
    <w:rsid w:val="00CD208F"/>
    <w:rsid w:val="00CD29A7"/>
    <w:rsid w:val="00CD4125"/>
    <w:rsid w:val="00CD4386"/>
    <w:rsid w:val="00CD52D0"/>
    <w:rsid w:val="00CD69FA"/>
    <w:rsid w:val="00CD6B2A"/>
    <w:rsid w:val="00CE1EF4"/>
    <w:rsid w:val="00CE20C7"/>
    <w:rsid w:val="00CE408F"/>
    <w:rsid w:val="00CE5EF2"/>
    <w:rsid w:val="00CF0726"/>
    <w:rsid w:val="00CF2CE5"/>
    <w:rsid w:val="00CF2D71"/>
    <w:rsid w:val="00CF5853"/>
    <w:rsid w:val="00CF7408"/>
    <w:rsid w:val="00D00095"/>
    <w:rsid w:val="00D00DE8"/>
    <w:rsid w:val="00D01E7F"/>
    <w:rsid w:val="00D024B9"/>
    <w:rsid w:val="00D024D7"/>
    <w:rsid w:val="00D060F7"/>
    <w:rsid w:val="00D070BF"/>
    <w:rsid w:val="00D0744B"/>
    <w:rsid w:val="00D07B11"/>
    <w:rsid w:val="00D07B3A"/>
    <w:rsid w:val="00D118DC"/>
    <w:rsid w:val="00D121D6"/>
    <w:rsid w:val="00D135A9"/>
    <w:rsid w:val="00D14152"/>
    <w:rsid w:val="00D150C2"/>
    <w:rsid w:val="00D1520A"/>
    <w:rsid w:val="00D159A0"/>
    <w:rsid w:val="00D15F75"/>
    <w:rsid w:val="00D17D7A"/>
    <w:rsid w:val="00D200D1"/>
    <w:rsid w:val="00D2171E"/>
    <w:rsid w:val="00D21DAB"/>
    <w:rsid w:val="00D24D30"/>
    <w:rsid w:val="00D25086"/>
    <w:rsid w:val="00D252CA"/>
    <w:rsid w:val="00D25CD2"/>
    <w:rsid w:val="00D27B48"/>
    <w:rsid w:val="00D316E8"/>
    <w:rsid w:val="00D32247"/>
    <w:rsid w:val="00D33080"/>
    <w:rsid w:val="00D3350C"/>
    <w:rsid w:val="00D335CC"/>
    <w:rsid w:val="00D33B7B"/>
    <w:rsid w:val="00D342A9"/>
    <w:rsid w:val="00D34C43"/>
    <w:rsid w:val="00D34F18"/>
    <w:rsid w:val="00D3599B"/>
    <w:rsid w:val="00D3657C"/>
    <w:rsid w:val="00D37B49"/>
    <w:rsid w:val="00D43F07"/>
    <w:rsid w:val="00D44AA4"/>
    <w:rsid w:val="00D44BC5"/>
    <w:rsid w:val="00D44D50"/>
    <w:rsid w:val="00D45720"/>
    <w:rsid w:val="00D4758F"/>
    <w:rsid w:val="00D5075A"/>
    <w:rsid w:val="00D51699"/>
    <w:rsid w:val="00D51996"/>
    <w:rsid w:val="00D55216"/>
    <w:rsid w:val="00D55C80"/>
    <w:rsid w:val="00D571C7"/>
    <w:rsid w:val="00D57522"/>
    <w:rsid w:val="00D60EFA"/>
    <w:rsid w:val="00D62804"/>
    <w:rsid w:val="00D6313A"/>
    <w:rsid w:val="00D63200"/>
    <w:rsid w:val="00D6350E"/>
    <w:rsid w:val="00D638F5"/>
    <w:rsid w:val="00D64A4C"/>
    <w:rsid w:val="00D669D8"/>
    <w:rsid w:val="00D71978"/>
    <w:rsid w:val="00D721D7"/>
    <w:rsid w:val="00D72225"/>
    <w:rsid w:val="00D73159"/>
    <w:rsid w:val="00D73968"/>
    <w:rsid w:val="00D73D08"/>
    <w:rsid w:val="00D74006"/>
    <w:rsid w:val="00D746B6"/>
    <w:rsid w:val="00D74950"/>
    <w:rsid w:val="00D74C3C"/>
    <w:rsid w:val="00D75E58"/>
    <w:rsid w:val="00D75F53"/>
    <w:rsid w:val="00D762FD"/>
    <w:rsid w:val="00D764F1"/>
    <w:rsid w:val="00D76DDE"/>
    <w:rsid w:val="00D804F9"/>
    <w:rsid w:val="00D8105C"/>
    <w:rsid w:val="00D819D7"/>
    <w:rsid w:val="00D828C0"/>
    <w:rsid w:val="00D82F95"/>
    <w:rsid w:val="00D82FAB"/>
    <w:rsid w:val="00D845D4"/>
    <w:rsid w:val="00D8509B"/>
    <w:rsid w:val="00D85C67"/>
    <w:rsid w:val="00D861D5"/>
    <w:rsid w:val="00D86625"/>
    <w:rsid w:val="00D87FAD"/>
    <w:rsid w:val="00D93169"/>
    <w:rsid w:val="00D93EE1"/>
    <w:rsid w:val="00D95F09"/>
    <w:rsid w:val="00D96B23"/>
    <w:rsid w:val="00D97174"/>
    <w:rsid w:val="00D97FBC"/>
    <w:rsid w:val="00DA0A2A"/>
    <w:rsid w:val="00DA29AE"/>
    <w:rsid w:val="00DA3445"/>
    <w:rsid w:val="00DA41BA"/>
    <w:rsid w:val="00DA7395"/>
    <w:rsid w:val="00DB277F"/>
    <w:rsid w:val="00DB2936"/>
    <w:rsid w:val="00DB44AA"/>
    <w:rsid w:val="00DB4F2B"/>
    <w:rsid w:val="00DB527C"/>
    <w:rsid w:val="00DB5E8D"/>
    <w:rsid w:val="00DB5F1C"/>
    <w:rsid w:val="00DB68F5"/>
    <w:rsid w:val="00DB74F3"/>
    <w:rsid w:val="00DC0AFD"/>
    <w:rsid w:val="00DC0FFF"/>
    <w:rsid w:val="00DC2B3B"/>
    <w:rsid w:val="00DC382A"/>
    <w:rsid w:val="00DC3DA2"/>
    <w:rsid w:val="00DC48D9"/>
    <w:rsid w:val="00DC59E7"/>
    <w:rsid w:val="00DC67FA"/>
    <w:rsid w:val="00DC6D92"/>
    <w:rsid w:val="00DC7F97"/>
    <w:rsid w:val="00DD0A7D"/>
    <w:rsid w:val="00DD1D28"/>
    <w:rsid w:val="00DD1F1A"/>
    <w:rsid w:val="00DD23D2"/>
    <w:rsid w:val="00DD2937"/>
    <w:rsid w:val="00DD29EC"/>
    <w:rsid w:val="00DD300F"/>
    <w:rsid w:val="00DD4587"/>
    <w:rsid w:val="00DD6650"/>
    <w:rsid w:val="00DD718C"/>
    <w:rsid w:val="00DD75C8"/>
    <w:rsid w:val="00DE3C12"/>
    <w:rsid w:val="00DE7D73"/>
    <w:rsid w:val="00DF0CE9"/>
    <w:rsid w:val="00DF2E10"/>
    <w:rsid w:val="00DF3108"/>
    <w:rsid w:val="00DF31FC"/>
    <w:rsid w:val="00DF37C8"/>
    <w:rsid w:val="00DF4B92"/>
    <w:rsid w:val="00DF567D"/>
    <w:rsid w:val="00DF5A3B"/>
    <w:rsid w:val="00DF6E51"/>
    <w:rsid w:val="00DF6F2C"/>
    <w:rsid w:val="00E00A8F"/>
    <w:rsid w:val="00E01A68"/>
    <w:rsid w:val="00E02E9C"/>
    <w:rsid w:val="00E04E80"/>
    <w:rsid w:val="00E05856"/>
    <w:rsid w:val="00E0630B"/>
    <w:rsid w:val="00E06726"/>
    <w:rsid w:val="00E069A5"/>
    <w:rsid w:val="00E07589"/>
    <w:rsid w:val="00E10505"/>
    <w:rsid w:val="00E1059C"/>
    <w:rsid w:val="00E1249E"/>
    <w:rsid w:val="00E12932"/>
    <w:rsid w:val="00E13436"/>
    <w:rsid w:val="00E13FD0"/>
    <w:rsid w:val="00E14236"/>
    <w:rsid w:val="00E159EB"/>
    <w:rsid w:val="00E165C0"/>
    <w:rsid w:val="00E173B0"/>
    <w:rsid w:val="00E20E26"/>
    <w:rsid w:val="00E20FBF"/>
    <w:rsid w:val="00E21DFC"/>
    <w:rsid w:val="00E223CF"/>
    <w:rsid w:val="00E22A22"/>
    <w:rsid w:val="00E22BA3"/>
    <w:rsid w:val="00E23E0D"/>
    <w:rsid w:val="00E23E67"/>
    <w:rsid w:val="00E2450B"/>
    <w:rsid w:val="00E254C5"/>
    <w:rsid w:val="00E26C94"/>
    <w:rsid w:val="00E27836"/>
    <w:rsid w:val="00E30CBF"/>
    <w:rsid w:val="00E311E8"/>
    <w:rsid w:val="00E345FF"/>
    <w:rsid w:val="00E35C4A"/>
    <w:rsid w:val="00E37105"/>
    <w:rsid w:val="00E40080"/>
    <w:rsid w:val="00E408FE"/>
    <w:rsid w:val="00E425F9"/>
    <w:rsid w:val="00E43CDC"/>
    <w:rsid w:val="00E44002"/>
    <w:rsid w:val="00E44320"/>
    <w:rsid w:val="00E462AD"/>
    <w:rsid w:val="00E4761E"/>
    <w:rsid w:val="00E537F3"/>
    <w:rsid w:val="00E550D0"/>
    <w:rsid w:val="00E551DA"/>
    <w:rsid w:val="00E55C49"/>
    <w:rsid w:val="00E57CF7"/>
    <w:rsid w:val="00E601B5"/>
    <w:rsid w:val="00E60C2E"/>
    <w:rsid w:val="00E618B2"/>
    <w:rsid w:val="00E61E9D"/>
    <w:rsid w:val="00E627E6"/>
    <w:rsid w:val="00E62E9B"/>
    <w:rsid w:val="00E659AC"/>
    <w:rsid w:val="00E65F07"/>
    <w:rsid w:val="00E66966"/>
    <w:rsid w:val="00E67240"/>
    <w:rsid w:val="00E67262"/>
    <w:rsid w:val="00E676E8"/>
    <w:rsid w:val="00E67709"/>
    <w:rsid w:val="00E70165"/>
    <w:rsid w:val="00E70803"/>
    <w:rsid w:val="00E716D8"/>
    <w:rsid w:val="00E71C7A"/>
    <w:rsid w:val="00E73C75"/>
    <w:rsid w:val="00E743CC"/>
    <w:rsid w:val="00E764EE"/>
    <w:rsid w:val="00E80768"/>
    <w:rsid w:val="00E80CA2"/>
    <w:rsid w:val="00E819BB"/>
    <w:rsid w:val="00E83217"/>
    <w:rsid w:val="00E8327D"/>
    <w:rsid w:val="00E845EC"/>
    <w:rsid w:val="00E84C20"/>
    <w:rsid w:val="00E85C29"/>
    <w:rsid w:val="00E876AA"/>
    <w:rsid w:val="00E902D6"/>
    <w:rsid w:val="00E90DB9"/>
    <w:rsid w:val="00E9389F"/>
    <w:rsid w:val="00E9422C"/>
    <w:rsid w:val="00E9540D"/>
    <w:rsid w:val="00EA01D4"/>
    <w:rsid w:val="00EA1A74"/>
    <w:rsid w:val="00EA232F"/>
    <w:rsid w:val="00EA2D1B"/>
    <w:rsid w:val="00EA40BC"/>
    <w:rsid w:val="00EA7EB1"/>
    <w:rsid w:val="00EB2E41"/>
    <w:rsid w:val="00EB34F1"/>
    <w:rsid w:val="00EB3511"/>
    <w:rsid w:val="00EB3B69"/>
    <w:rsid w:val="00EB5057"/>
    <w:rsid w:val="00EB57DC"/>
    <w:rsid w:val="00EB5913"/>
    <w:rsid w:val="00EB61E6"/>
    <w:rsid w:val="00EB67AE"/>
    <w:rsid w:val="00EB6896"/>
    <w:rsid w:val="00EB79C6"/>
    <w:rsid w:val="00EC1530"/>
    <w:rsid w:val="00EC3893"/>
    <w:rsid w:val="00EC4550"/>
    <w:rsid w:val="00EC48AC"/>
    <w:rsid w:val="00EC58FE"/>
    <w:rsid w:val="00EC5C88"/>
    <w:rsid w:val="00EC68A1"/>
    <w:rsid w:val="00EC6974"/>
    <w:rsid w:val="00EC7377"/>
    <w:rsid w:val="00EC7486"/>
    <w:rsid w:val="00EC7972"/>
    <w:rsid w:val="00EC7AB3"/>
    <w:rsid w:val="00ED1AF3"/>
    <w:rsid w:val="00ED3D2A"/>
    <w:rsid w:val="00ED426E"/>
    <w:rsid w:val="00ED4DBF"/>
    <w:rsid w:val="00ED5180"/>
    <w:rsid w:val="00ED60BA"/>
    <w:rsid w:val="00ED7F76"/>
    <w:rsid w:val="00EE07C2"/>
    <w:rsid w:val="00EE25DB"/>
    <w:rsid w:val="00EE3BE6"/>
    <w:rsid w:val="00EE4129"/>
    <w:rsid w:val="00EE511B"/>
    <w:rsid w:val="00EE5395"/>
    <w:rsid w:val="00EE6528"/>
    <w:rsid w:val="00EE6D1F"/>
    <w:rsid w:val="00EE7563"/>
    <w:rsid w:val="00EE7BAA"/>
    <w:rsid w:val="00EF35AA"/>
    <w:rsid w:val="00EF4337"/>
    <w:rsid w:val="00EF5D05"/>
    <w:rsid w:val="00F00473"/>
    <w:rsid w:val="00F028EE"/>
    <w:rsid w:val="00F02E93"/>
    <w:rsid w:val="00F03AEB"/>
    <w:rsid w:val="00F03F5E"/>
    <w:rsid w:val="00F047AE"/>
    <w:rsid w:val="00F05BCF"/>
    <w:rsid w:val="00F068B5"/>
    <w:rsid w:val="00F06DA7"/>
    <w:rsid w:val="00F0752E"/>
    <w:rsid w:val="00F10248"/>
    <w:rsid w:val="00F111E7"/>
    <w:rsid w:val="00F1164C"/>
    <w:rsid w:val="00F12067"/>
    <w:rsid w:val="00F12895"/>
    <w:rsid w:val="00F13B99"/>
    <w:rsid w:val="00F14CA7"/>
    <w:rsid w:val="00F156CB"/>
    <w:rsid w:val="00F15B13"/>
    <w:rsid w:val="00F16EA9"/>
    <w:rsid w:val="00F1700E"/>
    <w:rsid w:val="00F1710C"/>
    <w:rsid w:val="00F21B21"/>
    <w:rsid w:val="00F24110"/>
    <w:rsid w:val="00F242EC"/>
    <w:rsid w:val="00F26ABC"/>
    <w:rsid w:val="00F27988"/>
    <w:rsid w:val="00F32118"/>
    <w:rsid w:val="00F32BF5"/>
    <w:rsid w:val="00F341D2"/>
    <w:rsid w:val="00F34520"/>
    <w:rsid w:val="00F345DC"/>
    <w:rsid w:val="00F352E7"/>
    <w:rsid w:val="00F35E0E"/>
    <w:rsid w:val="00F3684E"/>
    <w:rsid w:val="00F37793"/>
    <w:rsid w:val="00F415B6"/>
    <w:rsid w:val="00F416FA"/>
    <w:rsid w:val="00F42B31"/>
    <w:rsid w:val="00F42BE2"/>
    <w:rsid w:val="00F42EC4"/>
    <w:rsid w:val="00F4348B"/>
    <w:rsid w:val="00F43655"/>
    <w:rsid w:val="00F47388"/>
    <w:rsid w:val="00F4751A"/>
    <w:rsid w:val="00F479F1"/>
    <w:rsid w:val="00F52867"/>
    <w:rsid w:val="00F55E4F"/>
    <w:rsid w:val="00F56EB1"/>
    <w:rsid w:val="00F605E8"/>
    <w:rsid w:val="00F6091B"/>
    <w:rsid w:val="00F60F59"/>
    <w:rsid w:val="00F6124A"/>
    <w:rsid w:val="00F6251D"/>
    <w:rsid w:val="00F62885"/>
    <w:rsid w:val="00F65397"/>
    <w:rsid w:val="00F65639"/>
    <w:rsid w:val="00F661C1"/>
    <w:rsid w:val="00F70765"/>
    <w:rsid w:val="00F711E8"/>
    <w:rsid w:val="00F7200F"/>
    <w:rsid w:val="00F72163"/>
    <w:rsid w:val="00F727BC"/>
    <w:rsid w:val="00F73C4B"/>
    <w:rsid w:val="00F74380"/>
    <w:rsid w:val="00F75EB5"/>
    <w:rsid w:val="00F76614"/>
    <w:rsid w:val="00F77402"/>
    <w:rsid w:val="00F77B9D"/>
    <w:rsid w:val="00F77DBE"/>
    <w:rsid w:val="00F80D7E"/>
    <w:rsid w:val="00F81BFF"/>
    <w:rsid w:val="00F83A3B"/>
    <w:rsid w:val="00F843D9"/>
    <w:rsid w:val="00F85654"/>
    <w:rsid w:val="00F90185"/>
    <w:rsid w:val="00F92F39"/>
    <w:rsid w:val="00F9495A"/>
    <w:rsid w:val="00F94A81"/>
    <w:rsid w:val="00F95899"/>
    <w:rsid w:val="00F976DD"/>
    <w:rsid w:val="00FA03B2"/>
    <w:rsid w:val="00FA1866"/>
    <w:rsid w:val="00FA26BA"/>
    <w:rsid w:val="00FA2C9F"/>
    <w:rsid w:val="00FA3757"/>
    <w:rsid w:val="00FA3CC4"/>
    <w:rsid w:val="00FA5365"/>
    <w:rsid w:val="00FA53DD"/>
    <w:rsid w:val="00FA6221"/>
    <w:rsid w:val="00FA6CCA"/>
    <w:rsid w:val="00FA75D3"/>
    <w:rsid w:val="00FB063F"/>
    <w:rsid w:val="00FB1325"/>
    <w:rsid w:val="00FB22B1"/>
    <w:rsid w:val="00FB2442"/>
    <w:rsid w:val="00FB2836"/>
    <w:rsid w:val="00FB30E7"/>
    <w:rsid w:val="00FB3588"/>
    <w:rsid w:val="00FB58E7"/>
    <w:rsid w:val="00FB5C38"/>
    <w:rsid w:val="00FB5C47"/>
    <w:rsid w:val="00FC03A9"/>
    <w:rsid w:val="00FC15BE"/>
    <w:rsid w:val="00FC1830"/>
    <w:rsid w:val="00FC1C7F"/>
    <w:rsid w:val="00FC5511"/>
    <w:rsid w:val="00FC5DF9"/>
    <w:rsid w:val="00FC61F9"/>
    <w:rsid w:val="00FC646F"/>
    <w:rsid w:val="00FC73D1"/>
    <w:rsid w:val="00FD0B72"/>
    <w:rsid w:val="00FD2AD8"/>
    <w:rsid w:val="00FD4270"/>
    <w:rsid w:val="00FD4780"/>
    <w:rsid w:val="00FD7083"/>
    <w:rsid w:val="00FD74A1"/>
    <w:rsid w:val="00FD7AD7"/>
    <w:rsid w:val="00FE00C8"/>
    <w:rsid w:val="00FE034F"/>
    <w:rsid w:val="00FE06E8"/>
    <w:rsid w:val="00FE11E7"/>
    <w:rsid w:val="00FE13B6"/>
    <w:rsid w:val="00FE1BB1"/>
    <w:rsid w:val="00FE42D3"/>
    <w:rsid w:val="00FE5245"/>
    <w:rsid w:val="00FE5473"/>
    <w:rsid w:val="00FE5E0F"/>
    <w:rsid w:val="00FE67F1"/>
    <w:rsid w:val="00FE75F7"/>
    <w:rsid w:val="00FF0391"/>
    <w:rsid w:val="00FF045B"/>
    <w:rsid w:val="00FF0C69"/>
    <w:rsid w:val="00FF0CA5"/>
    <w:rsid w:val="00FF0E1D"/>
    <w:rsid w:val="00FF1199"/>
    <w:rsid w:val="00FF2EB9"/>
    <w:rsid w:val="00FF3782"/>
    <w:rsid w:val="00FF3C39"/>
    <w:rsid w:val="00FF4FB3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6512C"/>
  <w15:chartTrackingRefBased/>
  <w15:docId w15:val="{150EFDA0-5824-4664-89E8-F296288B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BF0"/>
  </w:style>
  <w:style w:type="paragraph" w:styleId="Heading1">
    <w:name w:val="heading 1"/>
    <w:basedOn w:val="Normal"/>
    <w:next w:val="Normal"/>
    <w:link w:val="Heading1Char"/>
    <w:uiPriority w:val="9"/>
    <w:qFormat/>
    <w:rsid w:val="00A94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8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D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6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76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3E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FM1">
    <w:name w:val="Normal PFM 1"/>
    <w:basedOn w:val="Normal"/>
    <w:link w:val="NormalPFM1Char"/>
    <w:rsid w:val="0078617B"/>
    <w:pPr>
      <w:spacing w:before="80" w:after="80" w:line="252" w:lineRule="auto"/>
      <w:jc w:val="both"/>
    </w:pPr>
    <w:rPr>
      <w:rFonts w:ascii="Calibri" w:eastAsia="MS PGothic" w:hAnsi="Calibri" w:cs="Times New Roman"/>
      <w:sz w:val="21"/>
      <w:szCs w:val="21"/>
      <w:lang w:val="en-GB" w:eastAsia="zh-CN"/>
    </w:rPr>
  </w:style>
  <w:style w:type="character" w:customStyle="1" w:styleId="NormalPFM1Char">
    <w:name w:val="Normal PFM 1 Char"/>
    <w:link w:val="NormalPFM1"/>
    <w:rsid w:val="0078617B"/>
    <w:rPr>
      <w:rFonts w:ascii="Calibri" w:eastAsia="MS PGothic" w:hAnsi="Calibri" w:cs="Times New Roman"/>
      <w:sz w:val="21"/>
      <w:szCs w:val="21"/>
      <w:lang w:val="en-GB" w:eastAsia="zh-CN"/>
    </w:rPr>
  </w:style>
  <w:style w:type="paragraph" w:styleId="ListParagraph">
    <w:name w:val="List Paragraph"/>
    <w:aliases w:val="References,Bullets,List Paragraph (numbered (a)),List_Paragraph,Multilevel para_II,Akapit z listą BS,Bullet1,Numbered List Paragraph,Numbered Paragraph,Main numbered paragraph,Colorful List - Accent 11,List Paragraph1,Liste 1,Resume Title"/>
    <w:basedOn w:val="Normal"/>
    <w:link w:val="ListParagraphChar"/>
    <w:uiPriority w:val="34"/>
    <w:qFormat/>
    <w:rsid w:val="004D432B"/>
    <w:pPr>
      <w:ind w:left="720"/>
      <w:contextualSpacing/>
    </w:pPr>
  </w:style>
  <w:style w:type="table" w:styleId="TableGrid">
    <w:name w:val="Table Grid"/>
    <w:basedOn w:val="TableNormal"/>
    <w:uiPriority w:val="39"/>
    <w:rsid w:val="004D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941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941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D5B4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D5B4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5B40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48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30DB4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030D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6267D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8F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C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877"/>
  </w:style>
  <w:style w:type="paragraph" w:styleId="Footer">
    <w:name w:val="footer"/>
    <w:basedOn w:val="Normal"/>
    <w:link w:val="FooterChar"/>
    <w:uiPriority w:val="99"/>
    <w:unhideWhenUsed/>
    <w:rsid w:val="005F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877"/>
  </w:style>
  <w:style w:type="paragraph" w:styleId="BalloonText">
    <w:name w:val="Balloon Text"/>
    <w:basedOn w:val="Normal"/>
    <w:link w:val="BalloonTextChar"/>
    <w:uiPriority w:val="99"/>
    <w:semiHidden/>
    <w:unhideWhenUsed/>
    <w:rsid w:val="008E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59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276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276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23E6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FootnoteText">
    <w:name w:val="footnote text"/>
    <w:aliases w:val="Footnote Text Blue,Footnote Text1,Char,fn,FOOTNOTES,single space,footnote text,ADB,Footnote Text Char Char Char,Footnote Text Char Char,ft,Tegn1,Tegn1 Char,Char Char Char,Footnote Text Char2 Char Char,Footnote Text Char Char2 Char Char,Ch"/>
    <w:basedOn w:val="Normal"/>
    <w:link w:val="FootnoteTextChar"/>
    <w:uiPriority w:val="99"/>
    <w:unhideWhenUsed/>
    <w:qFormat/>
    <w:rsid w:val="002B4E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Blue Char,Footnote Text1 Char,Char Char,fn Char,FOOTNOTES Char,single space Char,footnote text Char,ADB Char,Footnote Text Char Char Char Char,Footnote Text Char Char Char1,ft Char,Tegn1 Char1,Tegn1 Char Char,Ch Char"/>
    <w:basedOn w:val="DefaultParagraphFont"/>
    <w:link w:val="FootnoteText"/>
    <w:uiPriority w:val="99"/>
    <w:rsid w:val="002B4EC4"/>
    <w:rPr>
      <w:sz w:val="20"/>
      <w:szCs w:val="20"/>
    </w:rPr>
  </w:style>
  <w:style w:type="character" w:styleId="FootnoteReference">
    <w:name w:val="footnote reference"/>
    <w:aliases w:val="ftref,Footnote Reference Superscript,Footnote Reference Number,Footnote Reference_LVL6,Footnote Reference_LVL61,Footnote Reference_LVL62,Footnote Reference_LVL63,Footnote Reference_LVL64,16 Point,Superscript 6 Point,Знак сноски-FN,fr"/>
    <w:basedOn w:val="DefaultParagraphFont"/>
    <w:link w:val="BVIfnrZchnCharZchnCharCharCharChar"/>
    <w:uiPriority w:val="99"/>
    <w:unhideWhenUsed/>
    <w:qFormat/>
    <w:rsid w:val="002B4EC4"/>
    <w:rPr>
      <w:vertAlign w:val="superscript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Numbered List Paragraph Char,Numbered Paragraph Char,Main numbered paragraph Char"/>
    <w:link w:val="ListParagraph"/>
    <w:uiPriority w:val="34"/>
    <w:locked/>
    <w:rsid w:val="002B4EC4"/>
  </w:style>
  <w:style w:type="paragraph" w:customStyle="1" w:styleId="BVIfnrZchnCharZchnCharCharCharChar">
    <w:name w:val="BVI fnr Zchn Char Zchn Char Char Char Char"/>
    <w:aliases w:val="BVI fnr Car Car Zchn Char Zchn Char Char Char Char,BVI fnr Car Zchn Char Zchn Char Char Char Char"/>
    <w:basedOn w:val="Normal"/>
    <w:link w:val="FootnoteReference"/>
    <w:uiPriority w:val="99"/>
    <w:rsid w:val="002B4EC4"/>
    <w:pPr>
      <w:spacing w:line="240" w:lineRule="exact"/>
    </w:pPr>
    <w:rPr>
      <w:vertAlign w:val="superscript"/>
    </w:rPr>
  </w:style>
  <w:style w:type="paragraph" w:styleId="NormalWeb">
    <w:name w:val="Normal (Web)"/>
    <w:basedOn w:val="Normal"/>
    <w:uiPriority w:val="99"/>
    <w:unhideWhenUsed/>
    <w:rsid w:val="0007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7F2E2C"/>
    <w:rPr>
      <w:color w:val="954F72"/>
      <w:u w:val="single"/>
    </w:rPr>
  </w:style>
  <w:style w:type="paragraph" w:customStyle="1" w:styleId="font5">
    <w:name w:val="font5"/>
    <w:basedOn w:val="Normal"/>
    <w:rsid w:val="007F2E2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7F2E2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7F2E2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7F2E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</w:rPr>
  </w:style>
  <w:style w:type="paragraph" w:customStyle="1" w:styleId="xl70">
    <w:name w:val="xl70"/>
    <w:basedOn w:val="Normal"/>
    <w:rsid w:val="007F2E2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1">
    <w:name w:val="xl71"/>
    <w:basedOn w:val="Normal"/>
    <w:rsid w:val="007F2E2C"/>
    <w:pPr>
      <w:pBdr>
        <w:left w:val="single" w:sz="4" w:space="0" w:color="auto"/>
        <w:right w:val="single" w:sz="4" w:space="0" w:color="auto"/>
      </w:pBdr>
      <w:shd w:val="clear" w:color="CCFFFF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72">
    <w:name w:val="xl72"/>
    <w:basedOn w:val="Normal"/>
    <w:rsid w:val="007F2E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73">
    <w:name w:val="xl73"/>
    <w:basedOn w:val="Normal"/>
    <w:rsid w:val="007F2E2C"/>
    <w:pPr>
      <w:pBdr>
        <w:left w:val="single" w:sz="4" w:space="0" w:color="auto"/>
        <w:right w:val="single" w:sz="4" w:space="0" w:color="auto"/>
      </w:pBdr>
      <w:shd w:val="clear" w:color="CCFFFF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74">
    <w:name w:val="xl74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75">
    <w:name w:val="xl75"/>
    <w:basedOn w:val="Normal"/>
    <w:rsid w:val="007F2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76">
    <w:name w:val="xl76"/>
    <w:basedOn w:val="Normal"/>
    <w:rsid w:val="007F2E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77">
    <w:name w:val="xl77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78">
    <w:name w:val="xl78"/>
    <w:basedOn w:val="Normal"/>
    <w:rsid w:val="007F2E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79">
    <w:name w:val="xl79"/>
    <w:basedOn w:val="Normal"/>
    <w:rsid w:val="007F2E2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80">
    <w:name w:val="xl80"/>
    <w:basedOn w:val="Normal"/>
    <w:rsid w:val="007F2E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81">
    <w:name w:val="xl81"/>
    <w:basedOn w:val="Normal"/>
    <w:rsid w:val="007F2E2C"/>
    <w:pPr>
      <w:pBdr>
        <w:top w:val="single" w:sz="4" w:space="0" w:color="auto"/>
        <w:bottom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82">
    <w:name w:val="xl82"/>
    <w:basedOn w:val="Normal"/>
    <w:rsid w:val="007F2E2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83">
    <w:name w:val="xl83"/>
    <w:basedOn w:val="Normal"/>
    <w:rsid w:val="007F2E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84">
    <w:name w:val="xl84"/>
    <w:basedOn w:val="Normal"/>
    <w:rsid w:val="007F2E2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85">
    <w:name w:val="xl85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86">
    <w:name w:val="xl86"/>
    <w:basedOn w:val="Normal"/>
    <w:rsid w:val="007F2E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87">
    <w:name w:val="xl87"/>
    <w:basedOn w:val="Normal"/>
    <w:rsid w:val="007F2E2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88">
    <w:name w:val="xl88"/>
    <w:basedOn w:val="Normal"/>
    <w:rsid w:val="007F2E2C"/>
    <w:pPr>
      <w:pBdr>
        <w:top w:val="single" w:sz="4" w:space="0" w:color="auto"/>
        <w:bottom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89">
    <w:name w:val="xl89"/>
    <w:basedOn w:val="Normal"/>
    <w:rsid w:val="007F2E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90">
    <w:name w:val="xl90"/>
    <w:basedOn w:val="Normal"/>
    <w:rsid w:val="007F2E2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91">
    <w:name w:val="xl91"/>
    <w:basedOn w:val="Normal"/>
    <w:rsid w:val="007F2E2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92">
    <w:name w:val="xl92"/>
    <w:basedOn w:val="Normal"/>
    <w:rsid w:val="007F2E2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2"/>
      <w:szCs w:val="12"/>
    </w:rPr>
  </w:style>
  <w:style w:type="paragraph" w:customStyle="1" w:styleId="xl93">
    <w:name w:val="xl93"/>
    <w:basedOn w:val="Normal"/>
    <w:rsid w:val="007F2E2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94">
    <w:name w:val="xl94"/>
    <w:basedOn w:val="Normal"/>
    <w:rsid w:val="007F2E2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95">
    <w:name w:val="xl95"/>
    <w:basedOn w:val="Normal"/>
    <w:rsid w:val="007F2E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96">
    <w:name w:val="xl96"/>
    <w:basedOn w:val="Normal"/>
    <w:rsid w:val="007F2E2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97">
    <w:name w:val="xl97"/>
    <w:basedOn w:val="Normal"/>
    <w:rsid w:val="007F2E2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98">
    <w:name w:val="xl98"/>
    <w:basedOn w:val="Normal"/>
    <w:rsid w:val="007F2E2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</w:rPr>
  </w:style>
  <w:style w:type="paragraph" w:customStyle="1" w:styleId="xl99">
    <w:name w:val="xl99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00">
    <w:name w:val="xl100"/>
    <w:basedOn w:val="Normal"/>
    <w:rsid w:val="007F2E2C"/>
    <w:pPr>
      <w:pBdr>
        <w:left w:val="single" w:sz="4" w:space="0" w:color="auto"/>
        <w:right w:val="single" w:sz="4" w:space="0" w:color="auto"/>
      </w:pBdr>
      <w:shd w:val="clear" w:color="CCFFFF" w:fill="E2EFDA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333399"/>
      <w:sz w:val="16"/>
      <w:szCs w:val="16"/>
    </w:rPr>
  </w:style>
  <w:style w:type="paragraph" w:customStyle="1" w:styleId="xl101">
    <w:name w:val="xl101"/>
    <w:basedOn w:val="Normal"/>
    <w:rsid w:val="007F2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2EFDA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333399"/>
      <w:sz w:val="16"/>
      <w:szCs w:val="16"/>
    </w:rPr>
  </w:style>
  <w:style w:type="paragraph" w:customStyle="1" w:styleId="xl102">
    <w:name w:val="xl102"/>
    <w:basedOn w:val="Normal"/>
    <w:rsid w:val="007F2E2C"/>
    <w:pPr>
      <w:pBdr>
        <w:left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03">
    <w:name w:val="xl103"/>
    <w:basedOn w:val="Normal"/>
    <w:rsid w:val="007F2E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04">
    <w:name w:val="xl104"/>
    <w:basedOn w:val="Normal"/>
    <w:rsid w:val="007F2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05">
    <w:name w:val="xl105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06">
    <w:name w:val="xl106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6"/>
      <w:szCs w:val="16"/>
    </w:rPr>
  </w:style>
  <w:style w:type="paragraph" w:customStyle="1" w:styleId="xl107">
    <w:name w:val="xl107"/>
    <w:basedOn w:val="Normal"/>
    <w:rsid w:val="007F2E2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08">
    <w:name w:val="xl108"/>
    <w:basedOn w:val="Normal"/>
    <w:rsid w:val="007F2E2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09">
    <w:name w:val="xl109"/>
    <w:basedOn w:val="Normal"/>
    <w:rsid w:val="007F2E2C"/>
    <w:pPr>
      <w:pBdr>
        <w:top w:val="single" w:sz="4" w:space="0" w:color="auto"/>
        <w:bottom w:val="single" w:sz="4" w:space="0" w:color="auto"/>
      </w:pBdr>
      <w:shd w:val="clear" w:color="CCFFFF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110">
    <w:name w:val="xl110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111">
    <w:name w:val="xl111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12">
    <w:name w:val="xl112"/>
    <w:basedOn w:val="Normal"/>
    <w:rsid w:val="007F2E2C"/>
    <w:pPr>
      <w:pBdr>
        <w:top w:val="single" w:sz="12" w:space="0" w:color="00FFFF"/>
        <w:left w:val="single" w:sz="12" w:space="0" w:color="00FFFF"/>
        <w:bottom w:val="single" w:sz="12" w:space="0" w:color="00FFFF"/>
        <w:right w:val="single" w:sz="12" w:space="0" w:color="00FFFF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C00000"/>
      <w:sz w:val="12"/>
      <w:szCs w:val="12"/>
    </w:rPr>
  </w:style>
  <w:style w:type="paragraph" w:customStyle="1" w:styleId="xl113">
    <w:name w:val="xl113"/>
    <w:basedOn w:val="Normal"/>
    <w:rsid w:val="007F2E2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</w:rPr>
  </w:style>
  <w:style w:type="paragraph" w:customStyle="1" w:styleId="xl114">
    <w:name w:val="xl114"/>
    <w:basedOn w:val="Normal"/>
    <w:rsid w:val="007F2E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</w:rPr>
  </w:style>
  <w:style w:type="paragraph" w:customStyle="1" w:styleId="xl115">
    <w:name w:val="xl115"/>
    <w:basedOn w:val="Normal"/>
    <w:rsid w:val="007F2E2C"/>
    <w:pPr>
      <w:pBdr>
        <w:top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</w:rPr>
  </w:style>
  <w:style w:type="paragraph" w:customStyle="1" w:styleId="xl116">
    <w:name w:val="xl116"/>
    <w:basedOn w:val="Normal"/>
    <w:rsid w:val="007F2E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</w:rPr>
  </w:style>
  <w:style w:type="paragraph" w:customStyle="1" w:styleId="xl117">
    <w:name w:val="xl117"/>
    <w:basedOn w:val="Normal"/>
    <w:rsid w:val="007F2E2C"/>
    <w:pPr>
      <w:pBdr>
        <w:top w:val="single" w:sz="12" w:space="0" w:color="00FFFF"/>
        <w:left w:val="single" w:sz="12" w:space="0" w:color="00FFFF"/>
        <w:bottom w:val="single" w:sz="12" w:space="0" w:color="00FFFF"/>
        <w:right w:val="single" w:sz="12" w:space="0" w:color="00FFFF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C00000"/>
      <w:sz w:val="12"/>
      <w:szCs w:val="12"/>
    </w:rPr>
  </w:style>
  <w:style w:type="paragraph" w:customStyle="1" w:styleId="xl118">
    <w:name w:val="xl118"/>
    <w:basedOn w:val="Normal"/>
    <w:rsid w:val="007F2E2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19">
    <w:name w:val="xl119"/>
    <w:basedOn w:val="Normal"/>
    <w:rsid w:val="007F2E2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20">
    <w:name w:val="xl120"/>
    <w:basedOn w:val="Normal"/>
    <w:rsid w:val="007F2E2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21">
    <w:name w:val="xl121"/>
    <w:basedOn w:val="Normal"/>
    <w:rsid w:val="007F2E2C"/>
    <w:pPr>
      <w:pBdr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22">
    <w:name w:val="xl122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23">
    <w:name w:val="xl123"/>
    <w:basedOn w:val="Normal"/>
    <w:rsid w:val="007F2E2C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24">
    <w:name w:val="xl124"/>
    <w:basedOn w:val="Normal"/>
    <w:rsid w:val="007F2E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25">
    <w:name w:val="xl125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126">
    <w:name w:val="xl126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333399"/>
      <w:sz w:val="12"/>
      <w:szCs w:val="12"/>
    </w:rPr>
  </w:style>
  <w:style w:type="paragraph" w:customStyle="1" w:styleId="xl127">
    <w:name w:val="xl127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28">
    <w:name w:val="xl128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29">
    <w:name w:val="xl129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2"/>
      <w:szCs w:val="12"/>
    </w:rPr>
  </w:style>
  <w:style w:type="paragraph" w:customStyle="1" w:styleId="xl130">
    <w:name w:val="xl130"/>
    <w:basedOn w:val="Normal"/>
    <w:rsid w:val="007F2E2C"/>
    <w:pPr>
      <w:pBdr>
        <w:top w:val="single" w:sz="4" w:space="0" w:color="000000"/>
        <w:left w:val="single" w:sz="12" w:space="0" w:color="00FFF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</w:rPr>
  </w:style>
  <w:style w:type="paragraph" w:customStyle="1" w:styleId="xl131">
    <w:name w:val="xl131"/>
    <w:basedOn w:val="Normal"/>
    <w:rsid w:val="007F2E2C"/>
    <w:pPr>
      <w:pBdr>
        <w:top w:val="single" w:sz="4" w:space="0" w:color="auto"/>
        <w:left w:val="single" w:sz="12" w:space="0" w:color="00FFF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4"/>
      <w:szCs w:val="14"/>
    </w:rPr>
  </w:style>
  <w:style w:type="paragraph" w:customStyle="1" w:styleId="xl132">
    <w:name w:val="xl132"/>
    <w:basedOn w:val="Normal"/>
    <w:rsid w:val="007F2E2C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33">
    <w:name w:val="xl133"/>
    <w:basedOn w:val="Normal"/>
    <w:rsid w:val="007F2E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34">
    <w:name w:val="xl134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E2EFDA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333399"/>
      <w:sz w:val="16"/>
      <w:szCs w:val="16"/>
    </w:rPr>
  </w:style>
  <w:style w:type="paragraph" w:customStyle="1" w:styleId="xl135">
    <w:name w:val="xl135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36">
    <w:name w:val="xl136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37">
    <w:name w:val="xl137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38">
    <w:name w:val="xl138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39">
    <w:name w:val="xl139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40">
    <w:name w:val="xl140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C00000"/>
      <w:sz w:val="12"/>
      <w:szCs w:val="12"/>
    </w:rPr>
  </w:style>
  <w:style w:type="paragraph" w:customStyle="1" w:styleId="xl141">
    <w:name w:val="xl141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42">
    <w:name w:val="xl142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C00000"/>
      <w:sz w:val="12"/>
      <w:szCs w:val="12"/>
    </w:rPr>
  </w:style>
  <w:style w:type="paragraph" w:customStyle="1" w:styleId="xl143">
    <w:name w:val="xl143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144">
    <w:name w:val="xl144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145">
    <w:name w:val="xl145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46">
    <w:name w:val="xl146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0"/>
      <w:szCs w:val="10"/>
    </w:rPr>
  </w:style>
  <w:style w:type="paragraph" w:customStyle="1" w:styleId="xl147">
    <w:name w:val="xl147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2"/>
      <w:szCs w:val="12"/>
    </w:rPr>
  </w:style>
  <w:style w:type="paragraph" w:customStyle="1" w:styleId="xl148">
    <w:name w:val="xl148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49">
    <w:name w:val="xl149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50">
    <w:name w:val="xl150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51">
    <w:name w:val="xl151"/>
    <w:basedOn w:val="Normal"/>
    <w:rsid w:val="007F2E2C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52">
    <w:name w:val="xl152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333399"/>
      <w:sz w:val="12"/>
      <w:szCs w:val="12"/>
    </w:rPr>
  </w:style>
  <w:style w:type="paragraph" w:customStyle="1" w:styleId="xl153">
    <w:name w:val="xl153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54">
    <w:name w:val="xl154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55">
    <w:name w:val="xl155"/>
    <w:basedOn w:val="Normal"/>
    <w:rsid w:val="007F2E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56">
    <w:name w:val="xl156"/>
    <w:basedOn w:val="Normal"/>
    <w:rsid w:val="007F2E2C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57">
    <w:name w:val="xl157"/>
    <w:basedOn w:val="Normal"/>
    <w:rsid w:val="007F2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58">
    <w:name w:val="xl158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59">
    <w:name w:val="xl159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2"/>
      <w:szCs w:val="12"/>
    </w:rPr>
  </w:style>
  <w:style w:type="paragraph" w:customStyle="1" w:styleId="xl160">
    <w:name w:val="xl160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1">
    <w:name w:val="xl161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93300"/>
      <w:sz w:val="18"/>
      <w:szCs w:val="18"/>
    </w:rPr>
  </w:style>
  <w:style w:type="paragraph" w:customStyle="1" w:styleId="xl162">
    <w:name w:val="xl162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E2EFDA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333399"/>
      <w:sz w:val="16"/>
      <w:szCs w:val="16"/>
    </w:rPr>
  </w:style>
  <w:style w:type="paragraph" w:customStyle="1" w:styleId="xl163">
    <w:name w:val="xl163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64">
    <w:name w:val="xl164"/>
    <w:basedOn w:val="Normal"/>
    <w:rsid w:val="007F2E2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2"/>
      <w:szCs w:val="12"/>
    </w:rPr>
  </w:style>
  <w:style w:type="paragraph" w:customStyle="1" w:styleId="xl165">
    <w:name w:val="xl165"/>
    <w:basedOn w:val="Normal"/>
    <w:rsid w:val="007F2E2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166">
    <w:name w:val="xl166"/>
    <w:basedOn w:val="Normal"/>
    <w:rsid w:val="007F2E2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167">
    <w:name w:val="xl167"/>
    <w:basedOn w:val="Normal"/>
    <w:rsid w:val="007F2E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333399"/>
      <w:sz w:val="14"/>
      <w:szCs w:val="14"/>
    </w:rPr>
  </w:style>
  <w:style w:type="paragraph" w:customStyle="1" w:styleId="xl168">
    <w:name w:val="xl168"/>
    <w:basedOn w:val="Normal"/>
    <w:rsid w:val="007F2E2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69">
    <w:name w:val="xl169"/>
    <w:basedOn w:val="Normal"/>
    <w:rsid w:val="007F2E2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70">
    <w:name w:val="xl170"/>
    <w:basedOn w:val="Normal"/>
    <w:rsid w:val="007F2E2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71">
    <w:name w:val="xl171"/>
    <w:basedOn w:val="Normal"/>
    <w:rsid w:val="007F2E2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72">
    <w:name w:val="xl172"/>
    <w:basedOn w:val="Normal"/>
    <w:rsid w:val="007F2E2C"/>
    <w:pPr>
      <w:shd w:val="clear" w:color="000000" w:fill="E2EFD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7F2E2C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7F2E2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7F2E2C"/>
    <w:pP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7F2E2C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7F2E2C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7F2E2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7F2E2C"/>
    <w:pPr>
      <w:shd w:val="clear" w:color="000000" w:fill="FF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7F2E2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7F2E2C"/>
    <w:pP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7F2E2C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Normal"/>
    <w:rsid w:val="007F2E2C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85">
    <w:name w:val="xl185"/>
    <w:basedOn w:val="Normal"/>
    <w:rsid w:val="007F2E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186">
    <w:name w:val="xl186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87">
    <w:name w:val="xl187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88">
    <w:name w:val="xl188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89">
    <w:name w:val="xl189"/>
    <w:basedOn w:val="Normal"/>
    <w:rsid w:val="007F2E2C"/>
    <w:pPr>
      <w:pBdr>
        <w:top w:val="single" w:sz="12" w:space="0" w:color="00FFFF"/>
        <w:left w:val="single" w:sz="12" w:space="0" w:color="00FFFF"/>
        <w:bottom w:val="single" w:sz="12" w:space="0" w:color="00FFFF"/>
        <w:right w:val="single" w:sz="12" w:space="0" w:color="00FFFF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2"/>
      <w:szCs w:val="12"/>
    </w:rPr>
  </w:style>
  <w:style w:type="paragraph" w:customStyle="1" w:styleId="xl190">
    <w:name w:val="xl190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2"/>
      <w:szCs w:val="12"/>
    </w:rPr>
  </w:style>
  <w:style w:type="paragraph" w:customStyle="1" w:styleId="xl191">
    <w:name w:val="xl191"/>
    <w:basedOn w:val="Normal"/>
    <w:rsid w:val="007F2E2C"/>
    <w:pPr>
      <w:pBdr>
        <w:top w:val="single" w:sz="12" w:space="0" w:color="00FFFF"/>
        <w:left w:val="single" w:sz="12" w:space="0" w:color="00FFFF"/>
        <w:bottom w:val="single" w:sz="12" w:space="0" w:color="00FFFF"/>
        <w:right w:val="single" w:sz="12" w:space="0" w:color="00FFFF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C00000"/>
      <w:sz w:val="12"/>
      <w:szCs w:val="12"/>
    </w:rPr>
  </w:style>
  <w:style w:type="paragraph" w:customStyle="1" w:styleId="xl192">
    <w:name w:val="xl192"/>
    <w:basedOn w:val="Normal"/>
    <w:rsid w:val="007F2E2C"/>
    <w:pPr>
      <w:pBdr>
        <w:top w:val="single" w:sz="12" w:space="0" w:color="00FFFF"/>
        <w:left w:val="single" w:sz="12" w:space="0" w:color="00FFFF"/>
        <w:bottom w:val="single" w:sz="12" w:space="0" w:color="00FFFF"/>
        <w:right w:val="single" w:sz="12" w:space="0" w:color="00FFFF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2"/>
      <w:szCs w:val="12"/>
    </w:rPr>
  </w:style>
  <w:style w:type="paragraph" w:customStyle="1" w:styleId="xl193">
    <w:name w:val="xl193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194">
    <w:name w:val="xl194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2"/>
      <w:szCs w:val="12"/>
    </w:rPr>
  </w:style>
  <w:style w:type="paragraph" w:customStyle="1" w:styleId="xl195">
    <w:name w:val="xl195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96">
    <w:name w:val="xl196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97">
    <w:name w:val="xl197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98">
    <w:name w:val="xl198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199">
    <w:name w:val="xl199"/>
    <w:basedOn w:val="Normal"/>
    <w:rsid w:val="007F2E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2"/>
      <w:szCs w:val="12"/>
    </w:rPr>
  </w:style>
  <w:style w:type="paragraph" w:customStyle="1" w:styleId="xl200">
    <w:name w:val="xl200"/>
    <w:basedOn w:val="Normal"/>
    <w:rsid w:val="007F2E2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201">
    <w:name w:val="xl201"/>
    <w:basedOn w:val="Normal"/>
    <w:rsid w:val="007F2E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202">
    <w:name w:val="xl202"/>
    <w:basedOn w:val="Normal"/>
    <w:rsid w:val="007F2E2C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203">
    <w:name w:val="xl203"/>
    <w:basedOn w:val="Normal"/>
    <w:rsid w:val="007F2E2C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4"/>
      <w:szCs w:val="14"/>
    </w:rPr>
  </w:style>
  <w:style w:type="paragraph" w:customStyle="1" w:styleId="xl204">
    <w:name w:val="xl204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2"/>
      <w:szCs w:val="12"/>
    </w:rPr>
  </w:style>
  <w:style w:type="paragraph" w:customStyle="1" w:styleId="xl205">
    <w:name w:val="xl205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0"/>
      <w:szCs w:val="10"/>
    </w:rPr>
  </w:style>
  <w:style w:type="paragraph" w:customStyle="1" w:styleId="xl206">
    <w:name w:val="xl206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2"/>
      <w:szCs w:val="12"/>
    </w:rPr>
  </w:style>
  <w:style w:type="paragraph" w:customStyle="1" w:styleId="xl207">
    <w:name w:val="xl207"/>
    <w:basedOn w:val="Normal"/>
    <w:rsid w:val="007F2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2"/>
      <w:szCs w:val="12"/>
    </w:rPr>
  </w:style>
  <w:style w:type="paragraph" w:styleId="Revision">
    <w:name w:val="Revision"/>
    <w:hidden/>
    <w:uiPriority w:val="99"/>
    <w:semiHidden/>
    <w:rsid w:val="00740D0C"/>
    <w:pPr>
      <w:spacing w:after="0" w:line="240" w:lineRule="auto"/>
    </w:pPr>
  </w:style>
  <w:style w:type="character" w:customStyle="1" w:styleId="cf01">
    <w:name w:val="cf01"/>
    <w:basedOn w:val="DefaultParagraphFont"/>
    <w:rsid w:val="00FD74A1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50D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74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74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C7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ab\AppData\Roaming\Microsoft\Excel\Revizija_01082025_Copy%20of%202%20FBiH%20SUJF-Reporting%202024_v1%20(version%201)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.7.2022.%20kompjuter%20kucni%20docs\SIGMA\2022\1%20Reporting%20and%20comprehensive%20strat%20work\40%20FBiH%20SUJF-Reporting_v%2040N%2014.7.2022.%20preciscena%20verzija%208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had%20Nakas\Downloads\Revizija_01082025_Copy%20of%202%20FBiH%20SUJF-Reporting%202024_v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Rezultati stuba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85E3-401C-9A2F-10BA8A8CB4ED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85E3-401C-9A2F-10BA8A8CB4ED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85E3-401C-9A2F-10BA8A8CB4ED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85E3-401C-9A2F-10BA8A8CB4ED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85E3-401C-9A2F-10BA8A8CB4ED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(GIR)'!$BE$13:$BE$17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11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5E3-401C-9A2F-10BA8A8CB4E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Rezutat stuba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9ADC-44D3-89F8-C79C3B52515F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9ADC-44D3-89F8-C79C3B52515F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9ADC-44D3-89F8-C79C3B52515F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9ADC-44D3-89F8-C79C3B52515F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9ADC-44D3-89F8-C79C3B52515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(GIR)'!$AE$767:$AE$771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ADC-44D3-89F8-C79C3B52515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Aktivnost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2E4C-4BF3-8EC6-D449AF03D3E2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2E4C-4BF3-8EC6-D449AF03D3E2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2E4C-4BF3-8EC6-D449AF03D3E2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2E4C-4BF3-8EC6-D449AF03D3E2}"/>
              </c:ext>
            </c:extLst>
          </c:dPt>
          <c:dPt>
            <c:idx val="4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2E4C-4BF3-8EC6-D449AF03D3E2}"/>
              </c:ext>
            </c:extLst>
          </c:dPt>
          <c:dPt>
            <c:idx val="5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B-2E4C-4BF3-8EC6-D449AF03D3E2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2E4C-4BF3-8EC6-D449AF03D3E2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(GIR)'!$U$775:$U$781</c:f>
              <c:numCache>
                <c:formatCode>General</c:formatCode>
                <c:ptCount val="7"/>
                <c:pt idx="1">
                  <c:v>5</c:v>
                </c:pt>
                <c:pt idx="2">
                  <c:v>6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E4C-4BF3-8EC6-D449AF03D3E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 mjere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7AAB-4995-9F3B-5DB177A67A36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7AAB-4995-9F3B-5DB177A67A36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7AAB-4995-9F3B-5DB177A67A36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7AAB-4995-9F3B-5DB177A67A36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7AAB-4995-9F3B-5DB177A67A36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B-7AAB-4995-9F3B-5DB177A67A3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(GIR)'!$Z$775:$Z$780</c:f>
              <c:numCache>
                <c:formatCode>General</c:formatCode>
                <c:ptCount val="6"/>
                <c:pt idx="1">
                  <c:v>7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455-4A82-B002-BC6E27082FB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</a:t>
            </a:r>
            <a:r>
              <a:rPr lang="en-US"/>
              <a:t>ultat</a:t>
            </a:r>
            <a:r>
              <a:rPr lang="bs-Latn-BA"/>
              <a:t> stuba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EB06-44E9-94FA-BB79EFD9F6E0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EB06-44E9-94FA-BB79EFD9F6E0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EB06-44E9-94FA-BB79EFD9F6E0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EB06-44E9-94FA-BB79EFD9F6E0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EB06-44E9-94FA-BB79EFD9F6E0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(GIR)'!$AE$1283:$AE$1287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B06-44E9-94FA-BB79EFD9F6E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Aktivnost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137F-4942-BBE7-2816833D93FB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37F-4942-BBE7-2816833D93FB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137F-4942-BBE7-2816833D93FB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137F-4942-BBE7-2816833D93FB}"/>
              </c:ext>
            </c:extLst>
          </c:dPt>
          <c:dPt>
            <c:idx val="4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137F-4942-BBE7-2816833D93FB}"/>
              </c:ext>
            </c:extLst>
          </c:dPt>
          <c:dPt>
            <c:idx val="5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B-137F-4942-BBE7-2816833D93FB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137F-4942-BBE7-2816833D93F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(GIR)'!$U$1291:$U$1297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37F-4942-BBE7-2816833D93F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</a:t>
            </a:r>
            <a:r>
              <a:rPr lang="en-US"/>
              <a:t>ultat</a:t>
            </a:r>
            <a:r>
              <a:rPr lang="bs-Latn-BA"/>
              <a:t> mjere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F81C-4E2F-9BEE-51725625D9A4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F81C-4E2F-9BEE-51725625D9A4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F81C-4E2F-9BEE-51725625D9A4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F81C-4E2F-9BEE-51725625D9A4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F81C-4E2F-9BEE-51725625D9A4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B-F81C-4E2F-9BEE-51725625D9A4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(GIR)'!$Z$1291:$Z$1296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7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DD5-4C69-9416-12688BD1D08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 stuba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CDEB-4983-B128-85A5B956ED56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CDEB-4983-B128-85A5B956ED56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CDEB-4983-B128-85A5B956ED56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CDEB-4983-B128-85A5B956ED56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CDEB-4983-B128-85A5B956ED5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(GIR)'!$AE$1740:$AE$1744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DEB-4983-B128-85A5B956ED5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Aktivnost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30D9-4AD9-9584-62758BA527E5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30D9-4AD9-9584-62758BA527E5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30D9-4AD9-9584-62758BA527E5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30D9-4AD9-9584-62758BA527E5}"/>
              </c:ext>
            </c:extLst>
          </c:dPt>
          <c:dPt>
            <c:idx val="4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30D9-4AD9-9584-62758BA527E5}"/>
              </c:ext>
            </c:extLst>
          </c:dPt>
          <c:dPt>
            <c:idx val="5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B-30D9-4AD9-9584-62758BA527E5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30D9-4AD9-9584-62758BA527E5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(GIR)'!$U$1748:$U$1754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9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0D9-4AD9-9584-62758BA527E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</a:t>
            </a:r>
            <a:r>
              <a:rPr lang="en-US"/>
              <a:t>ultat</a:t>
            </a:r>
            <a:r>
              <a:rPr lang="bs-Latn-BA"/>
              <a:t> mjere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E091-4B6B-A178-984832CAF310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E091-4B6B-A178-984832CAF310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E091-4B6B-A178-984832CAF310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E091-4B6B-A178-984832CAF310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E091-4B6B-A178-984832CAF310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B-E091-4B6B-A178-984832CAF310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(GIR)'!$Z$1748:$Z$1753</c:f>
              <c:numCache>
                <c:formatCode>General</c:formatCode>
                <c:ptCount val="6"/>
                <c:pt idx="0">
                  <c:v>0</c:v>
                </c:pt>
                <c:pt idx="1">
                  <c:v>11</c:v>
                </c:pt>
                <c:pt idx="2">
                  <c:v>0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3D6-43E9-ACFB-1EA75352527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Rezultati stuba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627C-4C03-92F7-96102A37E87F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627C-4C03-92F7-96102A37E87F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627C-4C03-92F7-96102A37E87F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627C-4C03-92F7-96102A37E87F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627C-4C03-92F7-96102A37E87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(GIR)'!$AE$2098:$AE$2102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27C-4C03-92F7-96102A37E87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Aktivnost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ED0F-4743-AF23-D13D8C4E1E6C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ED0F-4743-AF23-D13D8C4E1E6C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ED0F-4743-AF23-D13D8C4E1E6C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ED0F-4743-AF23-D13D8C4E1E6C}"/>
              </c:ext>
            </c:extLst>
          </c:dPt>
          <c:dPt>
            <c:idx val="4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ED0F-4743-AF23-D13D8C4E1E6C}"/>
              </c:ext>
            </c:extLst>
          </c:dPt>
          <c:dPt>
            <c:idx val="5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B-ED0F-4743-AF23-D13D8C4E1E6C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ED0F-4743-AF23-D13D8C4E1E6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(GIR)'!$AU$21:$AU$27</c:f>
              <c:numCache>
                <c:formatCode>General</c:formatCode>
                <c:ptCount val="7"/>
                <c:pt idx="0">
                  <c:v>4</c:v>
                </c:pt>
                <c:pt idx="1">
                  <c:v>21</c:v>
                </c:pt>
                <c:pt idx="2">
                  <c:v>40</c:v>
                </c:pt>
                <c:pt idx="3">
                  <c:v>0</c:v>
                </c:pt>
                <c:pt idx="4">
                  <c:v>4</c:v>
                </c:pt>
                <c:pt idx="5">
                  <c:v>1</c:v>
                </c:pt>
                <c:pt idx="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D0F-4743-AF23-D13D8C4E1E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Aktivnost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4E18-4E99-96F2-A24FDCDFE70B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4E18-4E99-96F2-A24FDCDFE70B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4E18-4E99-96F2-A24FDCDFE70B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4E18-4E99-96F2-A24FDCDFE70B}"/>
              </c:ext>
            </c:extLst>
          </c:dPt>
          <c:dPt>
            <c:idx val="4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4E18-4E99-96F2-A24FDCDFE70B}"/>
              </c:ext>
            </c:extLst>
          </c:dPt>
          <c:dPt>
            <c:idx val="5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B-4E18-4E99-96F2-A24FDCDFE70B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4E18-4E99-96F2-A24FDCDFE70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(GIR)'!$U$2106:$U$2112</c:f>
              <c:numCache>
                <c:formatCode>General</c:formatCode>
                <c:ptCount val="7"/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E18-4E99-96F2-A24FDCDFE70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 mjere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90F0-4737-99AC-BD412B8D6347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90F0-4737-99AC-BD412B8D6347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90F0-4737-99AC-BD412B8D6347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90F0-4737-99AC-BD412B8D6347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90F0-4737-99AC-BD412B8D6347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B-90F0-4737-99AC-BD412B8D6347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(GIR)'!$Z$2106:$Z$2111</c:f>
              <c:numCache>
                <c:formatCode>General</c:formatCode>
                <c:ptCount val="6"/>
                <c:pt idx="1">
                  <c:v>5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BBF-4248-A913-88B330E94C81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Rezultati mjere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2E5A-40FB-B790-3A23E193C609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2E5A-40FB-B790-3A23E193C609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2E5A-40FB-B790-3A23E193C609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2E5A-40FB-B790-3A23E193C609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2E5A-40FB-B790-3A23E193C609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B-2E5A-40FB-B790-3A23E193C609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31.12.2024. (GIR)'!$AZ$21:$AZ$26</c:f>
              <c:numCache>
                <c:formatCode>General</c:formatCode>
                <c:ptCount val="6"/>
                <c:pt idx="0">
                  <c:v>2</c:v>
                </c:pt>
                <c:pt idx="1">
                  <c:v>28</c:v>
                </c:pt>
                <c:pt idx="2">
                  <c:v>2</c:v>
                </c:pt>
                <c:pt idx="3">
                  <c:v>41</c:v>
                </c:pt>
                <c:pt idx="4">
                  <c:v>2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E5A-40FB-B790-3A23E193C60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 stuba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FA84-4B5A-A2A0-171742D774DB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FA84-4B5A-A2A0-171742D774DB}"/>
              </c:ext>
            </c:extLst>
          </c:dPt>
          <c:dPt>
            <c:idx val="2"/>
            <c:bubble3D val="0"/>
            <c:explosion val="33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FA84-4B5A-A2A0-171742D774DB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FA84-4B5A-A2A0-171742D774DB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FA84-4B5A-A2A0-171742D774D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(GIR)'!$AE$13:$AE$17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A84-4B5A-A2A0-171742D774D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Aktivnost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37AE-4375-BC78-90AB4BA8E4AC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37AE-4375-BC78-90AB4BA8E4AC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37AE-4375-BC78-90AB4BA8E4AC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37AE-4375-BC78-90AB4BA8E4AC}"/>
              </c:ext>
            </c:extLst>
          </c:dPt>
          <c:dPt>
            <c:idx val="4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37AE-4375-BC78-90AB4BA8E4AC}"/>
              </c:ext>
            </c:extLst>
          </c:dPt>
          <c:dPt>
            <c:idx val="5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B-37AE-4375-BC78-90AB4BA8E4AC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37AE-4375-BC78-90AB4BA8E4AC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(GIR)'!$U$21:$U$27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7AE-4375-BC78-90AB4BA8E4A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 mjere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183B-415B-AB06-BD35E2B7460A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183B-415B-AB06-BD35E2B7460A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183B-415B-AB06-BD35E2B7460A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183B-415B-AB06-BD35E2B7460A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183B-415B-AB06-BD35E2B7460A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B-183B-415B-AB06-BD35E2B7460A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(GIR)'!$Z$21:$Z$26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AE7-4DF5-82D3-47AF3A1E2DC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/>
              <a:t>Realizacija rezultata </a:t>
            </a:r>
            <a:r>
              <a:rPr lang="bs-Latn-BA" sz="1050"/>
              <a:t>stuba</a:t>
            </a:r>
            <a:endParaRPr lang="en-US" sz="105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B74C-429B-BA3F-B926FC0BD918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B74C-429B-BA3F-B926FC0BD918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B74C-429B-BA3F-B926FC0BD918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B74C-429B-BA3F-B926FC0BD918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B74C-429B-BA3F-B926FC0BD918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4C-429B-BA3F-B926FC0BD91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4C-429B-BA3F-B926FC0BD91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4C-429B-BA3F-B926FC0BD91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4C-429B-BA3F-B926FC0BD918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'K01_Stanje 31.12.2021. (GIR)'!$AE$285:$AE$289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74C-429B-BA3F-B926FC0BD91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Aktivnost</a:t>
            </a:r>
          </a:p>
        </c:rich>
      </c:tx>
      <c:overlay val="0"/>
    </c:title>
    <c:autoTitleDeleted val="0"/>
    <c:plotArea>
      <c:layout/>
      <c:pieChart>
        <c:varyColors val="1"/>
        <c:ser>
          <c:idx val="1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4AD1-4565-B8B5-7F98AEF60A6A}"/>
              </c:ext>
            </c:extLst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4AD1-4565-B8B5-7F98AEF60A6A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4AD1-4565-B8B5-7F98AEF60A6A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4AD1-4565-B8B5-7F98AEF60A6A}"/>
              </c:ext>
            </c:extLst>
          </c:dPt>
          <c:dPt>
            <c:idx val="4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4AD1-4565-B8B5-7F98AEF60A6A}"/>
              </c:ext>
            </c:extLst>
          </c:dPt>
          <c:dPt>
            <c:idx val="5"/>
            <c:bubble3D val="0"/>
            <c:spPr>
              <a:solidFill>
                <a:srgbClr val="00FF00"/>
              </a:solidFill>
            </c:spPr>
            <c:extLst>
              <c:ext xmlns:c16="http://schemas.microsoft.com/office/drawing/2014/chart" uri="{C3380CC4-5D6E-409C-BE32-E72D297353CC}">
                <c16:uniqueId val="{0000000B-4AD1-4565-B8B5-7F98AEF60A6A}"/>
              </c:ext>
            </c:extLst>
          </c:dPt>
          <c:dPt>
            <c:idx val="6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D-4AD1-4565-B8B5-7F98AEF60A6A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(GIR)'!$U$303:$U$309</c:f>
              <c:numCache>
                <c:formatCode>General</c:formatCode>
                <c:ptCount val="7"/>
                <c:pt idx="0">
                  <c:v>1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AD1-4565-B8B5-7F98AEF60A6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bs-Latn-BA"/>
              <a:t>Rezultat mjere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4EAC-4FAF-A410-20A408200A3B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4EAC-4FAF-A410-20A408200A3B}"/>
              </c:ext>
            </c:extLst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4EAC-4FAF-A410-20A408200A3B}"/>
              </c:ext>
            </c:extLst>
          </c:dPt>
          <c:dPt>
            <c:idx val="3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4EAC-4FAF-A410-20A408200A3B}"/>
              </c:ext>
            </c:extLst>
          </c:dPt>
          <c:dPt>
            <c:idx val="4"/>
            <c:bubble3D val="0"/>
            <c:spPr>
              <a:solidFill>
                <a:srgbClr val="FF66FF"/>
              </a:solidFill>
            </c:spPr>
            <c:extLst>
              <c:ext xmlns:c16="http://schemas.microsoft.com/office/drawing/2014/chart" uri="{C3380CC4-5D6E-409C-BE32-E72D297353CC}">
                <c16:uniqueId val="{00000009-4EAC-4FAF-A410-20A408200A3B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B-4EAC-4FAF-A410-20A408200A3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'[Revizija_01082025_Copy of 2 FBiH SUJF-Reporting 2024_v1.xlsb]K01_Stanje 31.12.2024. (GIR)'!$Z$303:$Z$308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16</c:v>
                </c:pt>
                <c:pt idx="4">
                  <c:v>0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F76-44FE-8877-D8D4983CC16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7CC8E-21F4-4E58-9815-A78816F3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90</Pages>
  <Words>24114</Words>
  <Characters>137452</Characters>
  <Application>Microsoft Office Word</Application>
  <DocSecurity>4</DocSecurity>
  <Lines>1145</Lines>
  <Paragraphs>322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Djikic</dc:creator>
  <cp:keywords/>
  <dc:description/>
  <cp:lastModifiedBy>ivana raguz</cp:lastModifiedBy>
  <cp:revision>2</cp:revision>
  <cp:lastPrinted>2025-08-01T11:00:00Z</cp:lastPrinted>
  <dcterms:created xsi:type="dcterms:W3CDTF">2026-03-12T09:43:00Z</dcterms:created>
  <dcterms:modified xsi:type="dcterms:W3CDTF">2026-03-12T09:43:00Z</dcterms:modified>
</cp:coreProperties>
</file>