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27" w:rsidRPr="00717327" w:rsidRDefault="00717327" w:rsidP="00717327">
      <w:pPr>
        <w:shd w:val="clear" w:color="auto" w:fill="FFFFFF"/>
        <w:spacing w:after="0" w:line="240" w:lineRule="auto"/>
        <w:jc w:val="center"/>
        <w:rPr>
          <w:rFonts w:ascii="Arial" w:eastAsia="Times New Roman" w:hAnsi="Arial" w:cs="Arial"/>
          <w:b/>
          <w:color w:val="000000"/>
          <w:sz w:val="24"/>
          <w:szCs w:val="24"/>
          <w:lang w:val="bs-Latn-BA" w:eastAsia="en-GB"/>
        </w:rPr>
      </w:pPr>
      <w:r w:rsidRPr="00717327">
        <w:rPr>
          <w:rFonts w:ascii="Arial" w:eastAsia="Times New Roman" w:hAnsi="Arial" w:cs="Arial"/>
          <w:b/>
          <w:color w:val="000000"/>
          <w:sz w:val="24"/>
          <w:szCs w:val="24"/>
          <w:lang w:val="bs-Latn-BA" w:eastAsia="en-GB"/>
        </w:rPr>
        <w:t>ODLUKA</w:t>
      </w:r>
    </w:p>
    <w:p w:rsidR="00717327" w:rsidRPr="00717327" w:rsidRDefault="00717327" w:rsidP="00717327">
      <w:pPr>
        <w:shd w:val="clear" w:color="auto" w:fill="FFFFFF"/>
        <w:spacing w:after="0" w:line="240" w:lineRule="auto"/>
        <w:jc w:val="center"/>
        <w:rPr>
          <w:rFonts w:ascii="Arial" w:eastAsia="Times New Roman" w:hAnsi="Arial" w:cs="Arial"/>
          <w:b/>
          <w:color w:val="000000"/>
          <w:sz w:val="24"/>
          <w:szCs w:val="24"/>
          <w:lang w:val="bs-Latn-BA" w:eastAsia="en-GB"/>
        </w:rPr>
      </w:pPr>
      <w:r w:rsidRPr="00717327">
        <w:rPr>
          <w:rFonts w:ascii="Arial" w:eastAsia="Times New Roman" w:hAnsi="Arial" w:cs="Arial"/>
          <w:b/>
          <w:color w:val="000000"/>
          <w:sz w:val="24"/>
          <w:szCs w:val="24"/>
          <w:lang w:val="bs-Latn-BA" w:eastAsia="en-GB"/>
        </w:rPr>
        <w:t>O NAČINU I USLOVIMA POD KOJIMA REZIDENTI U POSLOVANJU S NEREZIDENTIMA MOGU PRIMITI NAPLATU ILI IZVRŠITI PLAĆANJE U STRANOJ GOTOVINI I GOTOVINI U KONVERTIBILNIM MARKAMA</w:t>
      </w:r>
    </w:p>
    <w:p w:rsidR="00717327" w:rsidRPr="00717327" w:rsidRDefault="00717327" w:rsidP="00717327">
      <w:pPr>
        <w:shd w:val="clear" w:color="auto" w:fill="FFFFFF"/>
        <w:spacing w:after="0" w:line="240" w:lineRule="auto"/>
        <w:jc w:val="center"/>
        <w:rPr>
          <w:rFonts w:ascii="Arial" w:eastAsia="Times New Roman" w:hAnsi="Arial" w:cs="Arial"/>
          <w:b/>
          <w:color w:val="000000"/>
          <w:sz w:val="24"/>
          <w:szCs w:val="24"/>
          <w:lang w:val="bs-Latn-BA" w:eastAsia="en-GB"/>
        </w:rPr>
      </w:pPr>
    </w:p>
    <w:p w:rsidR="00717327" w:rsidRPr="00717327" w:rsidRDefault="00717327" w:rsidP="00717327">
      <w:pPr>
        <w:shd w:val="clear" w:color="auto" w:fill="FFFFFF"/>
        <w:spacing w:after="0" w:line="240" w:lineRule="auto"/>
        <w:jc w:val="center"/>
        <w:rPr>
          <w:rFonts w:ascii="Arial" w:eastAsia="Times New Roman" w:hAnsi="Arial" w:cs="Arial"/>
          <w:color w:val="000000"/>
          <w:sz w:val="24"/>
          <w:szCs w:val="24"/>
          <w:lang w:val="bs-Latn-BA" w:eastAsia="en-GB"/>
        </w:rPr>
      </w:pPr>
      <w:r w:rsidRPr="00717327">
        <w:rPr>
          <w:rFonts w:ascii="Arial" w:eastAsia="Times New Roman" w:hAnsi="Arial" w:cs="Arial"/>
          <w:b/>
          <w:color w:val="000000"/>
          <w:sz w:val="24"/>
          <w:szCs w:val="24"/>
          <w:lang w:val="bs-Latn-BA" w:eastAsia="en-GB"/>
        </w:rPr>
        <w:t>("Službene novine Federacije BiH", br. 58/10 i 12/22</w:t>
      </w:r>
      <w:r w:rsidRPr="00717327">
        <w:rPr>
          <w:rFonts w:ascii="Arial" w:eastAsia="Times New Roman" w:hAnsi="Arial" w:cs="Arial"/>
          <w:color w:val="000000"/>
          <w:sz w:val="24"/>
          <w:szCs w:val="24"/>
          <w:lang w:val="bs-Latn-BA" w:eastAsia="en-GB"/>
        </w:rPr>
        <w:t>)</w:t>
      </w:r>
    </w:p>
    <w:p w:rsidR="00717327" w:rsidRPr="00717327" w:rsidRDefault="00717327" w:rsidP="00717327">
      <w:pPr>
        <w:shd w:val="clear" w:color="auto" w:fill="FFFFFF"/>
        <w:spacing w:after="0" w:line="240" w:lineRule="auto"/>
        <w:jc w:val="center"/>
        <w:rPr>
          <w:rFonts w:ascii="Arial" w:eastAsia="Times New Roman" w:hAnsi="Arial" w:cs="Arial"/>
          <w:color w:val="000000"/>
          <w:sz w:val="24"/>
          <w:szCs w:val="24"/>
          <w:lang w:val="bs-Latn-BA" w:eastAsia="en-GB"/>
        </w:rPr>
      </w:pPr>
    </w:p>
    <w:p w:rsidR="00717327" w:rsidRPr="00717327" w:rsidRDefault="00717327" w:rsidP="00717327">
      <w:pPr>
        <w:shd w:val="clear" w:color="auto" w:fill="FFFFFF"/>
        <w:spacing w:after="0" w:line="240" w:lineRule="auto"/>
        <w:jc w:val="center"/>
        <w:rPr>
          <w:rFonts w:ascii="Arial" w:eastAsia="Times New Roman" w:hAnsi="Arial" w:cs="Arial"/>
          <w:b/>
          <w:color w:val="000000"/>
          <w:sz w:val="24"/>
          <w:szCs w:val="24"/>
          <w:lang w:val="bs-Latn-BA" w:eastAsia="en-GB"/>
        </w:rPr>
      </w:pPr>
      <w:r w:rsidRPr="00717327">
        <w:rPr>
          <w:rFonts w:ascii="Arial" w:eastAsia="Times New Roman" w:hAnsi="Arial" w:cs="Arial"/>
          <w:b/>
          <w:color w:val="000000"/>
          <w:sz w:val="24"/>
          <w:szCs w:val="24"/>
          <w:lang w:val="bs-Latn-BA" w:eastAsia="en-GB"/>
        </w:rPr>
        <w:t>- prečišćena neslužbena verzija -</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 xml:space="preserve">Ovom se Odlukom određuju način i uslovi pod kojima rezidenti u poslovanju s nerezidentima </w:t>
      </w:r>
      <w:bookmarkStart w:id="0" w:name="_GoBack"/>
      <w:bookmarkEnd w:id="0"/>
      <w:r w:rsidRPr="00717327">
        <w:rPr>
          <w:rFonts w:ascii="Arial" w:eastAsia="Times New Roman" w:hAnsi="Arial" w:cs="Arial"/>
          <w:color w:val="000000"/>
          <w:sz w:val="24"/>
          <w:szCs w:val="24"/>
          <w:lang w:val="bs-Latn-BA" w:eastAsia="en-GB"/>
        </w:rPr>
        <w:t>mogu izvršiti plaćanje u stranoj gotovini, gotovini u konvertibilnim markama i čekovima.</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II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Za potrebe ove Odluke rezidentima se smatraju:</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a) pravna lica sa sjedištem u Bosni i Hercegovini, osim njihovih predstavništava koja se nalaze izvan Bosne i Hercegovine,</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b) filijale stranih privrednih društava i trgovaca pojedinaca upisane u registar nadležnog organa u Bosni i Hercegovini,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c) poduzetnici (trgovci, obrtnici i druga fizička lica) koji samostalnim radom obavljaju privrednu djelatnost za koju su registrovani kod nadležnog organa.</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III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Rezidenti iz tačke II. ove Odluke mogu primiti naplatu od nerezidenata u stranoj gotovini i čekovima na osnovu izvoza robe i usluga u vrijednosti do 10.000,00 eura mjesečno. Nerezidentima se može platiti u stranoj gotovini i čekovima na osnovu uvoza robe i usluga u vrijednosti do 3.000,00 eura mjesečno. Za mjesečna plaćanja ili naplate u stranoj gotovini i čekovima iznosa većih od navedenih potrebno je odobrenje Federalnog ministarstva financija-Federalnog ministarstva finansija (u daljem tekstu: Ministarstvo).</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Odobrenje iz stava 1. ove tačke Ministarstvo će izdati uz uslov da se naplata ili plaćanje u poslovima s nerezidentom ne može obaviti bezgotovinskim putem ili ako je ono znatno otežano ako se zbog prirode posla takvo plaćanje ili takva naplata može obaviti jedino u stranoj gotovini i čekovima.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Uvoz ili izvoz robe iz stava 1. ove tačke dokazuje se jedinstvenom carinskom deklaracijom koja sadrži klauzulu da je roba prešla carinsku crtu pri izvozu ili jedinstvenom carinskom deklaracijom za uvoz, a uvoz ili izvoz usluga dokazuje se ugovorom ili računom za uslugu.</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Izuzetno od stava 3. ove tačke, kod naplate izvoza robe i usluga unaprijed, polog na račun može se izvršiti na osnovu predračuna rezidenta, s obavezom naknadnog dostavljanja dokumenata iz stava 3. ove tačke u roku u kojem je ugovorena isporuka robe i usluga.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Odobrenje iz stava 1. ove tačke izdaje se pojedinačno za svaku naplatu ili plaćanje, a može se dati i za iznos i određeni period, ali ne duže od jedne godine.</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IV</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lastRenderedPageBreak/>
        <w:t>Odobrenje iz tačke III. stav 1. za naplatu robe i usluga navedenih u ovoj tački od nerezidenata u stranoj gotovini i čekovima ne trebaju rezidenti koji su registrovani ili su njihovi posrednici: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a) za pružanje ugostiteljsko-turističkih usluga (usluga noćenja, pansiona, polupansiona i usluga prijevoza)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b) za pružanje usluga zračnih luka i autocesta te za snabdijevanje stranih aviona gorivom i mazivom i drugom potrošnom robom.</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c) za prodaju robe u konsignacijskim skladištima i u slobodnim carinskim prodavnicama,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d) za prodaju putničkih i robnih voznih isprava, neposredno ili preko putničkih turističkih agencija, za račun nerezidenata.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Rezidenti iz stava 1. ove tačke dužni su za potrebe devizne kontrole držati odvojeno dokumentaciju na osnovu koje su primili stranu gotovinu.</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V</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Za svako plaćanje nerezidentima u stranoj gotovini i čekovima, rezidenti iz tačke II. ove Odluke dužni su podići sredstva sa svog deviznog računa u banci ili ih kupiti od banke.</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Nalogu za plaćanje u inostranstvo kojim rezident u banci podiže stranu gotovinu ili čekove radi plaćanja nerezidentima prilaže se predračun nerezidenta prodavaoca robe ili izvršioca usluge.</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Banka je dužna voditi posebnu evidenciju o isplaćenoj stranoj gotovini i izdatim čekovima, a predračune na osnovu kojih je isplatila stranu gotovinu ili izdala čekove čuvati za potrebe nadzornih tijela.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Rezidenti iz tačke II. ove Odluke koji su podigli stranu gotovinu, odnosno kojima su izdati čekovi radi plaćanja nerezidentima u skladu sa tačkom III. ove Odluke, dužni su u roku od 60 dana od dana podizanja strane gotovine ili čekova podnijeti banci dokaze da su ta gotovina i/ili čekovi iskorišteni za plaćanje robe odnosno usluga nerezidentima ili ih vratiti na svoj devizni račun u banci.</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VI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Stranu gotovinu, čekove naplaćene u skladu s tačkom III. i IV. i ove Odluke položiti na svoj devizni račun u banci ili ih prodati banci u roku od tri radna dana od dana naplate.</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VII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(1) Rezidenti iz tačke II. ove Odluke mogu na osnovu izvoza odnosno uvoza robe i usluga primiti naplatu od nerezidenata ili obaviti plaćanje nerezidentima u gotovini u konvertibilnim markama u vrijednosti do 1.000 KM po računu, s tim da se uvoz ili izvoz robe dokazuje jedinstvenom carinskom deklaracijom koja sadrži klauzulu da je roba prešla carinsku crtu pri izvozu ili jedinstvenom carinskom deklaracijom za uvoz, a uvoz ili izvoz usluga dokazuje se ugovorom ili računom za uslugu.</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(2) Zabranjeno je plaćanje i naplata u gotovini u konvertibilnim markama između rezidenata i nerezidenata na osnovu kapitalnih transakcija.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(3) Rezidenti iz tačke II. ove odluke dužni su gotovinu u konvertibilnim markama ostvarenu naplatom od nerezidenta uplatiti isti radni dan na svoj račun u banci, a najkasnije narednog radnog dana.</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VIII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lastRenderedPageBreak/>
        <w:t>Rezidenti iz tačke II. ove Odluke mogu za izdatke za službena putovanja u inostranstvo imati deviznu blagajnu. Rezidenti iz tačke II. ove Odluke koji pružaju usluge u međunarodnom robnom i putničkom prometu i koji pružaju hitnu medicinsku pomoć, mogu imati deviznu blagajnu i za plaćanje troškova u vezi sa prijevoznim sredstvima i robom na službenom putu u inostranstvu. Prosječno dnevno stanje devizne blagajne u tromjesečju može biti u vrijednosti do 1.500,00 eura.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Rezidenti iz tačke IV. stava 1. ove Odluke mogu imati deviznu blagajnu radi vraćanja ostatka novca kupcu. Prosječno dnevno stanje devizne blagajne u jednom tromjesečju može biti u vrijednosti do 3.000,00 eura.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Prosječno dnevno stanje devizne blagajne u tromjesečju izračunava se tako da se saberu dnevna stanja svakog dana u tromjesečju i dobijeni zbir podijeli sa brojem kalendarskih dana u tome tromjesečju.</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Ministarstvo može izdati odobrenje rezidentima za držanje većeg iznosa u deviznoj blagajni nego što je propisano stavom 1. i 2. ove tačke. Odobrenje iz ovog stava izdaje se na rok do godine dana. Zahtjevu za izdavanje odobrenja iz ovog stava rezidenti prilažu izvod iz sudskog registra i podatak o prosječnom dnevnom stanju devizne blagajne u protekloj godini.</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IX</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Odredbe ove Odluke primjenjuju se ako nisu suprotne propisima kojima se uređuje plaćanje poreza na dohodak.</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IXa</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Zabranjeno je rezidentima iz tačke II. ove odluke da izmiruju svoje obaveze u stranoj gotovini i gotovini u konvertibilnim markama i čekovima na način uređen ovom odlukom, ako su im blokirani računi u skladu sa odredbama propisa kojima se uređuje unutrašnji platni promet.</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Prilikom plaćanja u stranoj gotovini i gotovini u konvertibilnim markama rezidenti su dužni primjenjivati propise koji uređuju sprečavanje pranja novca i finansiranje terorističkih aktivnosti.</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X</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Ako rezident iz tačke II. ove Odluke u propisanom roku ne ispuni obavezu iz tačke III. stava 4., odnosno tačke V. stava 4. ove Odluke, banka je dužna u roku od osam radnih dana o tome obavijestiti Federalno ministarstvo finansija - Federalno ministarstvo financija - Devizni odjel Finansijske policije.</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XI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Odobrenja Ministarstva izdaju se na osnovu obrazloženih zahtjeva rezidenata. Zahtjevu se prilažu dokumenti navedeni za pojedinu namjenu i taksa prema Zakonu o federalnim upravnim taksama. Ministarstvo može zatražiti, prema potrebi, i drugu dokumentaciju.</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Postupak izdavanja odobrenja provodi se u skladu sa Zakonom o općem upravnom postupku.</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XII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 xml:space="preserve">Danom stupanja na snagu ove Odluke prestaje važiti Odluka o uslovima pod kojima se domaćem pravnom licu može dati odobrenje da se naplata i plaćanje u Federaciji </w:t>
      </w:r>
      <w:r w:rsidRPr="00717327">
        <w:rPr>
          <w:rFonts w:ascii="Arial" w:eastAsia="Times New Roman" w:hAnsi="Arial" w:cs="Arial"/>
          <w:color w:val="000000"/>
          <w:sz w:val="24"/>
          <w:szCs w:val="24"/>
          <w:lang w:val="bs-Latn-BA" w:eastAsia="en-GB"/>
        </w:rPr>
        <w:lastRenderedPageBreak/>
        <w:t>Bosne i Hercegovine izvrši u efektivnom stranom novcu ("Službene novine Federacije BiH", broj 2/00).</w:t>
      </w:r>
    </w:p>
    <w:p w:rsidR="00717327" w:rsidRPr="00717327" w:rsidRDefault="00717327" w:rsidP="00717327">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717327">
        <w:rPr>
          <w:rFonts w:ascii="Arial" w:eastAsia="Times New Roman" w:hAnsi="Arial" w:cs="Arial"/>
          <w:b/>
          <w:bCs/>
          <w:color w:val="000000"/>
          <w:sz w:val="24"/>
          <w:szCs w:val="24"/>
          <w:lang w:val="bs-Latn-BA" w:eastAsia="en-GB"/>
        </w:rPr>
        <w:t>XIII</w:t>
      </w:r>
    </w:p>
    <w:p w:rsidR="00717327" w:rsidRPr="00717327" w:rsidRDefault="00717327" w:rsidP="00717327">
      <w:pPr>
        <w:shd w:val="clear" w:color="auto" w:fill="FFFFFF"/>
        <w:spacing w:before="48" w:after="48"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Ova Odluka stupa na snagu osmog dana od dana objavljivanja u "Službenim novinama Federacije BiH".</w:t>
      </w:r>
    </w:p>
    <w:p w:rsidR="00717327" w:rsidRPr="00717327" w:rsidRDefault="00717327" w:rsidP="00717327">
      <w:pPr>
        <w:shd w:val="clear" w:color="auto" w:fill="FFFFFF"/>
        <w:spacing w:after="0" w:line="240" w:lineRule="auto"/>
        <w:jc w:val="both"/>
        <w:rPr>
          <w:rFonts w:ascii="Arial" w:eastAsia="Times New Roman" w:hAnsi="Arial" w:cs="Arial"/>
          <w:color w:val="000000"/>
          <w:sz w:val="24"/>
          <w:szCs w:val="24"/>
          <w:lang w:val="bs-Latn-BA" w:eastAsia="en-GB"/>
        </w:rPr>
      </w:pPr>
      <w:r w:rsidRPr="00717327">
        <w:rPr>
          <w:rFonts w:ascii="Arial" w:eastAsia="Times New Roman" w:hAnsi="Arial" w:cs="Arial"/>
          <w:color w:val="000000"/>
          <w:sz w:val="24"/>
          <w:szCs w:val="24"/>
          <w:lang w:val="bs-Latn-BA" w:eastAsia="en-GB"/>
        </w:rPr>
        <w:t> </w:t>
      </w:r>
    </w:p>
    <w:p w:rsidR="00C1092D" w:rsidRPr="00717327" w:rsidRDefault="00C1092D" w:rsidP="00717327">
      <w:pPr>
        <w:jc w:val="both"/>
        <w:rPr>
          <w:rFonts w:ascii="Arial" w:hAnsi="Arial" w:cs="Arial"/>
          <w:sz w:val="24"/>
          <w:szCs w:val="24"/>
          <w:lang w:val="bs-Latn-BA"/>
        </w:rPr>
      </w:pPr>
    </w:p>
    <w:sectPr w:rsidR="00C1092D" w:rsidRPr="00717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27"/>
    <w:rsid w:val="00717327"/>
    <w:rsid w:val="00C1092D"/>
    <w:rsid w:val="00E07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1A162-61B7-4009-9BD6-ED7D6904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46045">
      <w:bodyDiv w:val="1"/>
      <w:marLeft w:val="0"/>
      <w:marRight w:val="0"/>
      <w:marTop w:val="0"/>
      <w:marBottom w:val="0"/>
      <w:divBdr>
        <w:top w:val="none" w:sz="0" w:space="0" w:color="auto"/>
        <w:left w:val="none" w:sz="0" w:space="0" w:color="auto"/>
        <w:bottom w:val="none" w:sz="0" w:space="0" w:color="auto"/>
        <w:right w:val="none" w:sz="0" w:space="0" w:color="auto"/>
      </w:divBdr>
    </w:div>
    <w:div w:id="945772441">
      <w:bodyDiv w:val="1"/>
      <w:marLeft w:val="0"/>
      <w:marRight w:val="0"/>
      <w:marTop w:val="0"/>
      <w:marBottom w:val="0"/>
      <w:divBdr>
        <w:top w:val="none" w:sz="0" w:space="0" w:color="auto"/>
        <w:left w:val="none" w:sz="0" w:space="0" w:color="auto"/>
        <w:bottom w:val="none" w:sz="0" w:space="0" w:color="auto"/>
        <w:right w:val="none" w:sz="0" w:space="0" w:color="auto"/>
      </w:divBdr>
    </w:div>
    <w:div w:id="10121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2023-11-27T15:45:00Z</dcterms:created>
  <dcterms:modified xsi:type="dcterms:W3CDTF">2023-11-27T15:45:00Z</dcterms:modified>
</cp:coreProperties>
</file>